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Ind w:w="108" w:type="dxa"/>
        <w:tblLayout w:type="fixed"/>
        <w:tblLook w:val="00A0" w:firstRow="1" w:lastRow="0" w:firstColumn="1" w:lastColumn="0" w:noHBand="0" w:noVBand="0"/>
      </w:tblPr>
      <w:tblGrid>
        <w:gridCol w:w="1451"/>
        <w:gridCol w:w="6649"/>
        <w:gridCol w:w="1624"/>
      </w:tblGrid>
      <w:tr w:rsidR="006B53A1" w:rsidRPr="00131698" w:rsidTr="00357E8B">
        <w:trPr>
          <w:trHeight w:val="1881"/>
        </w:trPr>
        <w:tc>
          <w:tcPr>
            <w:tcW w:w="1451" w:type="dxa"/>
            <w:shd w:val="clear" w:color="auto" w:fill="auto"/>
          </w:tcPr>
          <w:bookmarkStart w:id="0" w:name="_GoBack"/>
          <w:bookmarkEnd w:id="0"/>
          <w:p w:rsidR="006B53A1" w:rsidRPr="00131698" w:rsidRDefault="0009752C" w:rsidP="00BD03F4">
            <w:pPr>
              <w:ind w:left="-90"/>
              <w:rPr>
                <w:color w:val="000000"/>
              </w:rPr>
            </w:pPr>
            <w:r w:rsidRPr="00131698">
              <w:rPr>
                <w:noProof/>
                <w:color w:val="000000"/>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964565</wp:posOffset>
                      </wp:positionV>
                      <wp:extent cx="4229100" cy="5715"/>
                      <wp:effectExtent l="28575" t="31115"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5715"/>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A77BE5"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5.95pt" to="399.6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" strokeweight="4.5pt"/>
                  </w:pict>
                </mc:Fallback>
              </mc:AlternateContent>
            </w:r>
            <w:r w:rsidRPr="00131698">
              <w:rPr>
                <w:noProof/>
                <w:color w:val="000000"/>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50165</wp:posOffset>
                      </wp:positionV>
                      <wp:extent cx="4229100" cy="3175"/>
                      <wp:effectExtent l="28575" t="31115" r="28575" b="323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3175"/>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4C8940"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95pt" to="39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" strokeweight="4.5pt"/>
                  </w:pict>
                </mc:Fallback>
              </mc:AlternateContent>
            </w:r>
            <w:r w:rsidR="006B53A1" w:rsidRPr="00131698">
              <w:rPr>
                <w:color w:val="000000"/>
              </w:rPr>
              <w:br w:type="page"/>
            </w:r>
          </w:p>
          <w:p w:rsidR="006B53A1" w:rsidRPr="00131698" w:rsidRDefault="0009752C" w:rsidP="00BD03F4">
            <w:pPr>
              <w:ind w:left="-90"/>
              <w:rPr>
                <w:color w:val="000000"/>
              </w:rPr>
            </w:pPr>
            <w:r w:rsidRPr="00131698">
              <w:rPr>
                <w:noProof/>
                <w:color w:val="000000"/>
              </w:rPr>
              <w:drawing>
                <wp:inline distT="0" distB="0" distL="0" distR="0">
                  <wp:extent cx="847725" cy="676275"/>
                  <wp:effectExtent l="0" t="0" r="0" b="0"/>
                  <wp:docPr id="1" name="Picture 1" descr="Vertical_RGB_600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_RGB_600_2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inline>
              </w:drawing>
            </w:r>
          </w:p>
        </w:tc>
        <w:tc>
          <w:tcPr>
            <w:tcW w:w="6649" w:type="dxa"/>
            <w:shd w:val="clear" w:color="auto" w:fill="auto"/>
          </w:tcPr>
          <w:p w:rsidR="006B53A1" w:rsidRPr="00131698" w:rsidRDefault="006B53A1" w:rsidP="00BD03F4">
            <w:pPr>
              <w:ind w:left="-90"/>
              <w:jc w:val="center"/>
              <w:rPr>
                <w:color w:val="000000"/>
                <w:lang w:val="en-CA"/>
              </w:rPr>
            </w:pPr>
          </w:p>
          <w:p w:rsidR="006B53A1" w:rsidRPr="00131698" w:rsidRDefault="006B53A1" w:rsidP="00BD03F4">
            <w:pPr>
              <w:ind w:left="-90"/>
              <w:jc w:val="center"/>
              <w:rPr>
                <w:color w:val="000000"/>
              </w:rPr>
            </w:pPr>
            <w:r w:rsidRPr="00131698">
              <w:rPr>
                <w:color w:val="000000"/>
                <w:lang w:val="en-CA"/>
              </w:rPr>
              <w:fldChar w:fldCharType="begin"/>
            </w:r>
            <w:r w:rsidRPr="00131698">
              <w:rPr>
                <w:color w:val="000000"/>
                <w:lang w:val="en-CA"/>
              </w:rPr>
              <w:instrText xml:space="preserve"> SEQ CHAPTER \h \r 1</w:instrText>
            </w:r>
            <w:r w:rsidRPr="00131698">
              <w:rPr>
                <w:color w:val="000000"/>
                <w:lang w:val="en-CA"/>
              </w:rPr>
              <w:fldChar w:fldCharType="end"/>
            </w:r>
            <w:r w:rsidRPr="00131698">
              <w:rPr>
                <w:color w:val="000000"/>
                <w:sz w:val="46"/>
                <w:szCs w:val="46"/>
                <w:lang w:val="en-GB"/>
              </w:rPr>
              <w:t>POLICY SYNTHESIS</w:t>
            </w:r>
          </w:p>
          <w:p w:rsidR="006B53A1" w:rsidRPr="00131698" w:rsidRDefault="006B53A1" w:rsidP="00BD03F4">
            <w:pPr>
              <w:ind w:left="-90"/>
              <w:jc w:val="center"/>
              <w:rPr>
                <w:i/>
                <w:iCs/>
                <w:color w:val="000000"/>
                <w:lang w:val="en-GB"/>
              </w:rPr>
            </w:pPr>
            <w:r w:rsidRPr="00131698">
              <w:rPr>
                <w:color w:val="000000"/>
                <w:lang w:val="en-CA"/>
              </w:rPr>
              <w:fldChar w:fldCharType="begin"/>
            </w:r>
            <w:r w:rsidRPr="00131698">
              <w:rPr>
                <w:color w:val="000000"/>
                <w:lang w:val="en-CA"/>
              </w:rPr>
              <w:instrText xml:space="preserve"> SEQ CHAPTER \h \r 1</w:instrText>
            </w:r>
            <w:r w:rsidRPr="00131698">
              <w:rPr>
                <w:color w:val="000000"/>
                <w:lang w:val="en-CA"/>
              </w:rPr>
              <w:fldChar w:fldCharType="end"/>
            </w:r>
            <w:r w:rsidRPr="00131698">
              <w:rPr>
                <w:i/>
                <w:iCs/>
                <w:color w:val="000000"/>
                <w:lang w:val="en-GB"/>
              </w:rPr>
              <w:t>for Cooperating USAID Offices and Country Missions</w:t>
            </w:r>
          </w:p>
          <w:p w:rsidR="006B53A1" w:rsidRPr="00131698" w:rsidRDefault="006B53A1" w:rsidP="00BD03F4">
            <w:pPr>
              <w:ind w:left="-90"/>
              <w:jc w:val="center"/>
              <w:rPr>
                <w:rStyle w:val="Hyperlink"/>
                <w:color w:val="000000"/>
                <w:sz w:val="20"/>
                <w:szCs w:val="20"/>
              </w:rPr>
            </w:pPr>
            <w:r w:rsidRPr="00131698">
              <w:rPr>
                <w:rStyle w:val="Hyperlink"/>
                <w:color w:val="000000"/>
                <w:sz w:val="20"/>
                <w:szCs w:val="20"/>
              </w:rPr>
              <w:t>(</w:t>
            </w:r>
            <w:hyperlink r:id="rId10" w:history="1">
              <w:r w:rsidR="00DC3716" w:rsidRPr="00131698">
                <w:rPr>
                  <w:rStyle w:val="Hyperlink"/>
                  <w:color w:val="000000"/>
                  <w:sz w:val="20"/>
                  <w:szCs w:val="20"/>
                  <w:lang w:val="en-GB"/>
                </w:rPr>
                <w:t>http://www.aec.msu.edu/fs2/psynindx.htm</w:t>
              </w:r>
            </w:hyperlink>
            <w:r w:rsidRPr="00131698">
              <w:rPr>
                <w:rStyle w:val="Hyperlink"/>
                <w:color w:val="000000"/>
                <w:sz w:val="20"/>
                <w:szCs w:val="20"/>
              </w:rPr>
              <w:t>)</w:t>
            </w:r>
          </w:p>
          <w:p w:rsidR="006B53A1" w:rsidRPr="00131698" w:rsidRDefault="006B53A1" w:rsidP="00BD03F4">
            <w:pPr>
              <w:ind w:left="-90"/>
              <w:jc w:val="both"/>
              <w:rPr>
                <w:color w:val="000000"/>
              </w:rPr>
            </w:pPr>
          </w:p>
          <w:p w:rsidR="006B53A1" w:rsidRPr="00131698" w:rsidRDefault="006B53A1" w:rsidP="00BD03F4">
            <w:pPr>
              <w:ind w:left="-90"/>
              <w:jc w:val="both"/>
              <w:rPr>
                <w:color w:val="000000"/>
                <w:sz w:val="20"/>
                <w:szCs w:val="20"/>
              </w:rPr>
            </w:pPr>
            <w:r w:rsidRPr="00131698">
              <w:rPr>
                <w:color w:val="000000"/>
                <w:sz w:val="20"/>
                <w:szCs w:val="20"/>
              </w:rPr>
              <w:t xml:space="preserve">Number  </w:t>
            </w:r>
            <w:r w:rsidR="00617030" w:rsidRPr="00131698">
              <w:rPr>
                <w:color w:val="000000"/>
                <w:sz w:val="20"/>
                <w:szCs w:val="20"/>
              </w:rPr>
              <w:t>160</w:t>
            </w:r>
            <w:r w:rsidRPr="00131698">
              <w:rPr>
                <w:color w:val="000000"/>
                <w:sz w:val="20"/>
                <w:szCs w:val="20"/>
              </w:rPr>
              <w:t xml:space="preserve">                                                                               </w:t>
            </w:r>
            <w:r w:rsidR="00617030" w:rsidRPr="00131698">
              <w:rPr>
                <w:color w:val="000000"/>
                <w:sz w:val="20"/>
                <w:szCs w:val="20"/>
              </w:rPr>
              <w:t xml:space="preserve">           Dec 2017</w:t>
            </w:r>
          </w:p>
        </w:tc>
        <w:tc>
          <w:tcPr>
            <w:tcW w:w="1624" w:type="dxa"/>
            <w:shd w:val="clear" w:color="auto" w:fill="auto"/>
            <w:tcMar>
              <w:left w:w="0" w:type="dxa"/>
              <w:right w:w="0" w:type="dxa"/>
            </w:tcMar>
          </w:tcPr>
          <w:p w:rsidR="005C7DD5" w:rsidRPr="00131698" w:rsidRDefault="005C7DD5" w:rsidP="00BD03F4">
            <w:pPr>
              <w:ind w:left="-90"/>
              <w:rPr>
                <w:color w:val="000000"/>
                <w:sz w:val="18"/>
                <w:szCs w:val="18"/>
              </w:rPr>
            </w:pPr>
          </w:p>
          <w:p w:rsidR="005C7DD5" w:rsidRPr="00131698" w:rsidRDefault="005C7DD5" w:rsidP="00BD03F4">
            <w:pPr>
              <w:ind w:left="-90"/>
              <w:rPr>
                <w:color w:val="000000"/>
                <w:sz w:val="18"/>
                <w:szCs w:val="18"/>
              </w:rPr>
            </w:pPr>
          </w:p>
          <w:p w:rsidR="005C7DD5" w:rsidRPr="00131698" w:rsidRDefault="005C7DD5" w:rsidP="00BD03F4">
            <w:pPr>
              <w:ind w:left="-90"/>
              <w:rPr>
                <w:color w:val="000000"/>
                <w:sz w:val="18"/>
                <w:szCs w:val="18"/>
              </w:rPr>
            </w:pPr>
          </w:p>
          <w:p w:rsidR="006B53A1" w:rsidRPr="00131698" w:rsidRDefault="0009752C" w:rsidP="00BD03F4">
            <w:pPr>
              <w:ind w:left="-90"/>
              <w:jc w:val="both"/>
              <w:rPr>
                <w:color w:val="000000"/>
                <w:sz w:val="18"/>
                <w:szCs w:val="18"/>
              </w:rPr>
            </w:pPr>
            <w:r w:rsidRPr="00131698">
              <w:rPr>
                <w:noProof/>
                <w:color w:val="000000"/>
                <w:sz w:val="18"/>
                <w:szCs w:val="18"/>
              </w:rPr>
              <w:drawing>
                <wp:inline distT="0" distB="0" distL="0" distR="0">
                  <wp:extent cx="1028700" cy="342900"/>
                  <wp:effectExtent l="0" t="0" r="0" b="0"/>
                  <wp:docPr id="2" name="Picture 2" descr="wordmark_pos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pos_w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p>
        </w:tc>
      </w:tr>
    </w:tbl>
    <w:p w:rsidR="005823EC" w:rsidRPr="00131698" w:rsidRDefault="005823EC" w:rsidP="00BD03F4">
      <w:pPr>
        <w:ind w:left="-90"/>
        <w:jc w:val="center"/>
        <w:rPr>
          <w:rFonts w:ascii="Times New Roman Bold" w:hAnsi="Times New Roman Bold"/>
          <w:b/>
          <w:smallCaps/>
          <w:color w:val="000000"/>
        </w:rPr>
      </w:pPr>
    </w:p>
    <w:p w:rsidR="00617030" w:rsidRPr="00131698" w:rsidRDefault="00617030" w:rsidP="00BD03F4">
      <w:pPr>
        <w:ind w:left="-90"/>
        <w:contextualSpacing/>
        <w:jc w:val="center"/>
        <w:rPr>
          <w:b/>
          <w:color w:val="000000"/>
          <w:spacing w:val="-10"/>
          <w:kern w:val="28"/>
          <w:sz w:val="32"/>
          <w:szCs w:val="32"/>
        </w:rPr>
      </w:pPr>
      <w:r w:rsidRPr="00131698">
        <w:rPr>
          <w:b/>
          <w:color w:val="000000"/>
          <w:spacing w:val="-10"/>
          <w:kern w:val="28"/>
          <w:sz w:val="32"/>
          <w:szCs w:val="32"/>
        </w:rPr>
        <w:t xml:space="preserve">Demand-led and supply-led extension </w:t>
      </w:r>
      <w:r w:rsidRPr="00131698">
        <w:rPr>
          <w:b/>
          <w:noProof/>
          <w:color w:val="000000"/>
          <w:spacing w:val="-10"/>
          <w:kern w:val="28"/>
          <w:sz w:val="32"/>
          <w:szCs w:val="32"/>
        </w:rPr>
        <w:t>approaches</w:t>
      </w:r>
      <w:r w:rsidRPr="00131698">
        <w:rPr>
          <w:b/>
          <w:color w:val="000000"/>
          <w:spacing w:val="-10"/>
          <w:kern w:val="28"/>
          <w:sz w:val="32"/>
          <w:szCs w:val="32"/>
        </w:rPr>
        <w:t xml:space="preserve"> to support sustainable intensification in Malawi</w:t>
      </w:r>
    </w:p>
    <w:p w:rsidR="00617030" w:rsidRPr="00131698" w:rsidRDefault="00617030" w:rsidP="00BD03F4">
      <w:pPr>
        <w:ind w:left="-90"/>
        <w:contextualSpacing/>
        <w:jc w:val="center"/>
        <w:rPr>
          <w:b/>
          <w:color w:val="000000"/>
          <w:spacing w:val="-10"/>
          <w:kern w:val="28"/>
          <w:sz w:val="32"/>
          <w:szCs w:val="32"/>
        </w:rPr>
      </w:pPr>
    </w:p>
    <w:p w:rsidR="00617030" w:rsidRPr="00131698" w:rsidRDefault="00617030" w:rsidP="00BD03F4">
      <w:pPr>
        <w:ind w:left="-90"/>
        <w:jc w:val="center"/>
        <w:rPr>
          <w:rFonts w:eastAsia="Calibri"/>
          <w:noProof/>
          <w:color w:val="000000"/>
          <w:vertAlign w:val="superscript"/>
          <w:lang w:val="en-ZW"/>
        </w:rPr>
      </w:pPr>
      <w:r w:rsidRPr="00131698">
        <w:rPr>
          <w:rFonts w:eastAsia="Calibri"/>
          <w:color w:val="000000"/>
        </w:rPr>
        <w:t xml:space="preserve">Rodney W. </w:t>
      </w:r>
      <w:proofErr w:type="spellStart"/>
      <w:r w:rsidRPr="00131698">
        <w:rPr>
          <w:rFonts w:eastAsia="Calibri"/>
          <w:color w:val="000000"/>
        </w:rPr>
        <w:t>Lunduka</w:t>
      </w:r>
      <w:r w:rsidRPr="00131698">
        <w:rPr>
          <w:rFonts w:eastAsia="Calibri"/>
          <w:color w:val="000000"/>
          <w:vertAlign w:val="superscript"/>
        </w:rPr>
        <w:t>a</w:t>
      </w:r>
      <w:proofErr w:type="spellEnd"/>
      <w:r w:rsidRPr="00131698">
        <w:rPr>
          <w:rFonts w:eastAsia="Calibri"/>
          <w:color w:val="000000"/>
        </w:rPr>
        <w:t>,</w:t>
      </w:r>
      <w:r w:rsidRPr="00131698">
        <w:rPr>
          <w:rFonts w:eastAsia="Calibri"/>
          <w:color w:val="000000"/>
          <w:lang w:val="en-ZW"/>
        </w:rPr>
        <w:t xml:space="preserve"> Sieglinde </w:t>
      </w:r>
      <w:r w:rsidRPr="00131698">
        <w:rPr>
          <w:rFonts w:eastAsia="Calibri"/>
          <w:noProof/>
          <w:color w:val="000000"/>
          <w:lang w:val="en-ZW"/>
        </w:rPr>
        <w:t>Snapp</w:t>
      </w:r>
      <w:r w:rsidRPr="00131698">
        <w:rPr>
          <w:rFonts w:eastAsia="Calibri"/>
          <w:noProof/>
          <w:color w:val="000000"/>
          <w:vertAlign w:val="superscript"/>
          <w:lang w:val="en-ZW"/>
        </w:rPr>
        <w:t>b</w:t>
      </w:r>
      <w:r w:rsidRPr="00131698">
        <w:rPr>
          <w:rFonts w:eastAsia="Calibri"/>
          <w:color w:val="000000"/>
          <w:lang w:val="en-ZW"/>
        </w:rPr>
        <w:t xml:space="preserve"> </w:t>
      </w:r>
      <w:r w:rsidRPr="00131698">
        <w:rPr>
          <w:rFonts w:eastAsia="Calibri"/>
          <w:noProof/>
          <w:color w:val="000000"/>
          <w:lang w:val="en-ZW"/>
        </w:rPr>
        <w:t>and</w:t>
      </w:r>
      <w:r w:rsidRPr="00131698">
        <w:rPr>
          <w:rFonts w:eastAsia="Calibri"/>
          <w:color w:val="000000"/>
          <w:lang w:val="en-ZW"/>
        </w:rPr>
        <w:t xml:space="preserve"> Thomas S. </w:t>
      </w:r>
      <w:r w:rsidRPr="00131698">
        <w:rPr>
          <w:rFonts w:eastAsia="Calibri"/>
          <w:noProof/>
          <w:color w:val="000000"/>
          <w:lang w:val="en-ZW"/>
        </w:rPr>
        <w:t>Jayne</w:t>
      </w:r>
      <w:r w:rsidRPr="00131698">
        <w:rPr>
          <w:rFonts w:eastAsia="Calibri"/>
          <w:noProof/>
          <w:color w:val="000000"/>
          <w:vertAlign w:val="superscript"/>
          <w:lang w:val="en-ZW"/>
        </w:rPr>
        <w:t>c</w:t>
      </w:r>
    </w:p>
    <w:p w:rsidR="00617030" w:rsidRPr="00131698" w:rsidRDefault="00617030" w:rsidP="00BD03F4">
      <w:pPr>
        <w:ind w:left="-90"/>
        <w:jc w:val="center"/>
        <w:rPr>
          <w:rFonts w:eastAsia="Calibri"/>
          <w:color w:val="000000"/>
        </w:rPr>
      </w:pPr>
    </w:p>
    <w:p w:rsidR="00617030" w:rsidRPr="00131698" w:rsidRDefault="00617030" w:rsidP="00BD03F4">
      <w:pPr>
        <w:ind w:left="-90"/>
        <w:jc w:val="both"/>
        <w:rPr>
          <w:rFonts w:eastAsia="Calibri"/>
          <w:color w:val="000000"/>
          <w:sz w:val="20"/>
          <w:szCs w:val="20"/>
          <w:lang w:val="en-ZW"/>
        </w:rPr>
      </w:pPr>
      <w:r w:rsidRPr="00131698">
        <w:rPr>
          <w:rFonts w:eastAsia="Calibri"/>
          <w:noProof/>
          <w:color w:val="000000"/>
          <w:sz w:val="20"/>
          <w:szCs w:val="20"/>
          <w:vertAlign w:val="superscript"/>
          <w:lang w:val="en-ZW"/>
        </w:rPr>
        <w:t>a</w:t>
      </w:r>
      <w:r w:rsidR="00596726">
        <w:rPr>
          <w:rFonts w:eastAsia="Calibri"/>
          <w:noProof/>
          <w:color w:val="000000"/>
          <w:sz w:val="20"/>
          <w:szCs w:val="20"/>
          <w:vertAlign w:val="superscript"/>
          <w:lang w:val="en-ZW"/>
        </w:rPr>
        <w:t xml:space="preserve"> </w:t>
      </w:r>
      <w:r w:rsidRPr="00131698">
        <w:rPr>
          <w:rFonts w:eastAsia="Calibri"/>
          <w:noProof/>
          <w:color w:val="000000"/>
          <w:sz w:val="20"/>
          <w:szCs w:val="20"/>
          <w:lang w:val="en-ZW"/>
        </w:rPr>
        <w:t>CIMMYT</w:t>
      </w:r>
      <w:r w:rsidRPr="00131698">
        <w:rPr>
          <w:rFonts w:eastAsia="Calibri"/>
          <w:color w:val="000000"/>
          <w:sz w:val="20"/>
          <w:szCs w:val="20"/>
          <w:lang w:val="en-ZW"/>
        </w:rPr>
        <w:t>- Southern Africa Regional Office (SARO), PO Box MP 163, Mount Pleasant Harare, Zimbabwe</w:t>
      </w:r>
    </w:p>
    <w:p w:rsidR="00617030" w:rsidRPr="00596726" w:rsidRDefault="00617030" w:rsidP="00BD03F4">
      <w:pPr>
        <w:ind w:left="-90"/>
        <w:jc w:val="both"/>
        <w:rPr>
          <w:rFonts w:eastAsia="Calibri"/>
          <w:iCs/>
          <w:color w:val="000000"/>
          <w:sz w:val="20"/>
          <w:szCs w:val="20"/>
          <w:lang w:val="en-ZW"/>
        </w:rPr>
      </w:pPr>
      <w:r w:rsidRPr="00131698">
        <w:rPr>
          <w:rFonts w:eastAsia="Calibri"/>
          <w:noProof/>
          <w:color w:val="000000"/>
          <w:sz w:val="20"/>
          <w:szCs w:val="20"/>
          <w:vertAlign w:val="superscript"/>
          <w:lang w:val="en-ZW"/>
        </w:rPr>
        <w:t>b</w:t>
      </w:r>
      <w:r w:rsidR="00596726">
        <w:rPr>
          <w:rFonts w:eastAsia="Calibri"/>
          <w:noProof/>
          <w:color w:val="000000"/>
          <w:sz w:val="20"/>
          <w:szCs w:val="20"/>
          <w:vertAlign w:val="superscript"/>
          <w:lang w:val="en-ZW"/>
        </w:rPr>
        <w:t xml:space="preserve"> </w:t>
      </w:r>
      <w:r w:rsidR="00596726" w:rsidRPr="00596726">
        <w:rPr>
          <w:rFonts w:eastAsia="Calibri"/>
          <w:color w:val="000000"/>
          <w:sz w:val="20"/>
          <w:szCs w:val="20"/>
          <w:lang w:val="en-ZW"/>
        </w:rPr>
        <w:t xml:space="preserve">Associate </w:t>
      </w:r>
      <w:r w:rsidR="00596726" w:rsidRPr="00596726">
        <w:rPr>
          <w:rFonts w:eastAsia="Calibri"/>
          <w:color w:val="000000"/>
          <w:sz w:val="20"/>
          <w:szCs w:val="20"/>
        </w:rPr>
        <w:t xml:space="preserve">Director of the Center for Global Change and Earth Observations, </w:t>
      </w:r>
      <w:r w:rsidRPr="00596726">
        <w:rPr>
          <w:rFonts w:eastAsia="Calibri"/>
          <w:iCs/>
          <w:color w:val="000000"/>
          <w:sz w:val="20"/>
          <w:szCs w:val="20"/>
          <w:lang w:val="en-ZW"/>
        </w:rPr>
        <w:t>Michigan State University, U</w:t>
      </w:r>
      <w:r w:rsidR="00596726" w:rsidRPr="00596726">
        <w:rPr>
          <w:rFonts w:eastAsia="Calibri"/>
          <w:iCs/>
          <w:color w:val="000000"/>
          <w:sz w:val="20"/>
          <w:szCs w:val="20"/>
          <w:lang w:val="en-ZW"/>
        </w:rPr>
        <w:t>nited States</w:t>
      </w:r>
    </w:p>
    <w:p w:rsidR="00617030" w:rsidRPr="00131698" w:rsidRDefault="00617030" w:rsidP="00BD03F4">
      <w:pPr>
        <w:autoSpaceDE w:val="0"/>
        <w:autoSpaceDN w:val="0"/>
        <w:adjustRightInd w:val="0"/>
        <w:ind w:left="-90"/>
        <w:jc w:val="both"/>
        <w:rPr>
          <w:rFonts w:eastAsia="Calibri"/>
          <w:color w:val="000000"/>
          <w:sz w:val="20"/>
          <w:szCs w:val="20"/>
          <w:lang w:val="en-ZW"/>
        </w:rPr>
      </w:pPr>
      <w:r w:rsidRPr="00596726">
        <w:rPr>
          <w:rFonts w:eastAsia="Calibri"/>
          <w:noProof/>
          <w:color w:val="000000"/>
          <w:sz w:val="20"/>
          <w:szCs w:val="20"/>
          <w:vertAlign w:val="superscript"/>
          <w:lang w:val="en-ZW"/>
        </w:rPr>
        <w:t>c</w:t>
      </w:r>
      <w:r w:rsidR="00596726">
        <w:rPr>
          <w:rFonts w:eastAsia="Calibri"/>
          <w:noProof/>
          <w:color w:val="000000"/>
          <w:sz w:val="20"/>
          <w:szCs w:val="20"/>
          <w:vertAlign w:val="superscript"/>
          <w:lang w:val="en-ZW"/>
        </w:rPr>
        <w:t xml:space="preserve"> </w:t>
      </w:r>
      <w:r w:rsidR="00596726">
        <w:rPr>
          <w:rFonts w:eastAsia="Calibri"/>
          <w:color w:val="000000"/>
          <w:sz w:val="20"/>
          <w:szCs w:val="20"/>
          <w:lang w:val="en-ZW"/>
        </w:rPr>
        <w:t>University Foundation Professor, D</w:t>
      </w:r>
      <w:r w:rsidRPr="00596726">
        <w:rPr>
          <w:rFonts w:eastAsia="Calibri"/>
          <w:color w:val="000000"/>
          <w:sz w:val="20"/>
          <w:szCs w:val="20"/>
          <w:lang w:val="en-ZW"/>
        </w:rPr>
        <w:t>epartment of Agricultural</w:t>
      </w:r>
      <w:r w:rsidR="00596726" w:rsidRPr="00596726">
        <w:rPr>
          <w:rFonts w:eastAsia="Calibri"/>
          <w:color w:val="000000"/>
          <w:sz w:val="20"/>
          <w:szCs w:val="20"/>
          <w:lang w:val="en-ZW"/>
        </w:rPr>
        <w:t>, Food and Resource</w:t>
      </w:r>
      <w:r w:rsidRPr="00596726">
        <w:rPr>
          <w:rFonts w:eastAsia="Calibri"/>
          <w:color w:val="000000"/>
          <w:sz w:val="20"/>
          <w:szCs w:val="20"/>
          <w:lang w:val="en-ZW"/>
        </w:rPr>
        <w:t xml:space="preserve"> Economics, </w:t>
      </w:r>
      <w:r w:rsidR="00596726" w:rsidRPr="00596726">
        <w:rPr>
          <w:rFonts w:eastAsia="Calibri"/>
          <w:color w:val="000000"/>
          <w:sz w:val="20"/>
          <w:szCs w:val="20"/>
          <w:lang w:val="en-ZW"/>
        </w:rPr>
        <w:t>Michigan State University</w:t>
      </w:r>
      <w:r w:rsidR="00596726">
        <w:rPr>
          <w:rFonts w:eastAsia="Calibri"/>
          <w:color w:val="000000"/>
          <w:sz w:val="20"/>
          <w:szCs w:val="20"/>
          <w:lang w:val="en-ZW"/>
        </w:rPr>
        <w:t>, United States</w:t>
      </w:r>
    </w:p>
    <w:p w:rsidR="005823EC" w:rsidRPr="00131698" w:rsidRDefault="005823EC" w:rsidP="00BD03F4">
      <w:pPr>
        <w:ind w:left="-90"/>
        <w:jc w:val="center"/>
        <w:rPr>
          <w:rFonts w:ascii="Times" w:hAnsi="Times"/>
          <w:color w:val="000000"/>
          <w:sz w:val="18"/>
          <w:szCs w:val="18"/>
        </w:rPr>
      </w:pPr>
    </w:p>
    <w:p w:rsidR="005823EC" w:rsidRPr="00131698" w:rsidRDefault="005823EC" w:rsidP="00BD03F4">
      <w:pPr>
        <w:ind w:left="-90"/>
        <w:rPr>
          <w:b/>
          <w:smallCaps/>
          <w:color w:val="000000"/>
        </w:rPr>
      </w:pPr>
    </w:p>
    <w:p w:rsidR="005823EC" w:rsidRPr="00131698" w:rsidRDefault="005823EC" w:rsidP="00BD03F4">
      <w:pPr>
        <w:ind w:left="-90"/>
        <w:rPr>
          <w:b/>
          <w:smallCaps/>
          <w:color w:val="000000"/>
        </w:rPr>
        <w:sectPr w:rsidR="005823EC" w:rsidRPr="00131698" w:rsidSect="00BD03F4">
          <w:footerReference w:type="even" r:id="rId12"/>
          <w:footerReference w:type="default" r:id="rId13"/>
          <w:pgSz w:w="11909" w:h="16834" w:code="9"/>
          <w:pgMar w:top="720" w:right="1440" w:bottom="1080" w:left="1440" w:header="720" w:footer="432" w:gutter="0"/>
          <w:pgNumType w:start="1"/>
          <w:cols w:space="534"/>
          <w:docGrid w:linePitch="360"/>
        </w:sectPr>
      </w:pPr>
    </w:p>
    <w:p w:rsidR="00617030" w:rsidRPr="00131698" w:rsidRDefault="005823EC" w:rsidP="00BD03F4">
      <w:pPr>
        <w:autoSpaceDE w:val="0"/>
        <w:autoSpaceDN w:val="0"/>
        <w:adjustRightInd w:val="0"/>
        <w:ind w:left="-90"/>
        <w:jc w:val="both"/>
        <w:rPr>
          <w:b/>
          <w:smallCaps/>
          <w:color w:val="000000"/>
        </w:rPr>
      </w:pPr>
      <w:r w:rsidRPr="00131698">
        <w:rPr>
          <w:b/>
          <w:caps/>
          <w:color w:val="000000"/>
        </w:rPr>
        <w:lastRenderedPageBreak/>
        <w:t>Background:</w:t>
      </w:r>
      <w:r w:rsidRPr="00131698">
        <w:rPr>
          <w:b/>
          <w:smallCaps/>
          <w:color w:val="000000"/>
        </w:rPr>
        <w:t xml:space="preserve"> </w:t>
      </w:r>
    </w:p>
    <w:p w:rsidR="00D74993" w:rsidRDefault="00596726" w:rsidP="00D74993">
      <w:pPr>
        <w:autoSpaceDE w:val="0"/>
        <w:autoSpaceDN w:val="0"/>
        <w:adjustRightInd w:val="0"/>
        <w:ind w:left="-90"/>
        <w:jc w:val="both"/>
        <w:rPr>
          <w:rFonts w:eastAsia="Calibri"/>
          <w:noProof/>
          <w:color w:val="000000"/>
        </w:rPr>
      </w:pPr>
      <w:r>
        <w:rPr>
          <w:rFonts w:eastAsia="Calibri"/>
          <w:noProof/>
          <w:color w:val="000000"/>
        </w:rPr>
        <w:t>A</w:t>
      </w:r>
      <w:r w:rsidR="00617030" w:rsidRPr="00131698">
        <w:rPr>
          <w:rFonts w:eastAsia="Calibri"/>
          <w:noProof/>
          <w:color w:val="000000"/>
        </w:rPr>
        <w:t>gricultural extension</w:t>
      </w:r>
      <w:r w:rsidR="00617030" w:rsidRPr="00131698">
        <w:rPr>
          <w:rFonts w:eastAsia="Calibri"/>
          <w:color w:val="000000"/>
        </w:rPr>
        <w:t xml:space="preserve"> </w:t>
      </w:r>
      <w:r>
        <w:rPr>
          <w:rFonts w:eastAsia="Calibri"/>
          <w:color w:val="000000"/>
        </w:rPr>
        <w:t xml:space="preserve">systems are </w:t>
      </w:r>
      <w:r w:rsidR="00617030" w:rsidRPr="00131698">
        <w:rPr>
          <w:rFonts w:eastAsia="Calibri"/>
          <w:noProof/>
          <w:color w:val="000000"/>
        </w:rPr>
        <w:t xml:space="preserve">intended </w:t>
      </w:r>
      <w:r w:rsidR="00617030" w:rsidRPr="00131698">
        <w:rPr>
          <w:rFonts w:eastAsia="Calibri"/>
          <w:color w:val="000000"/>
        </w:rPr>
        <w:t xml:space="preserve">to </w:t>
      </w:r>
      <w:r>
        <w:rPr>
          <w:rFonts w:eastAsia="Calibri"/>
          <w:color w:val="000000"/>
        </w:rPr>
        <w:t xml:space="preserve">help farmers raise their </w:t>
      </w:r>
      <w:r w:rsidR="00617030" w:rsidRPr="00131698">
        <w:rPr>
          <w:rFonts w:eastAsia="Calibri"/>
          <w:color w:val="000000"/>
        </w:rPr>
        <w:t xml:space="preserve">productivity </w:t>
      </w:r>
      <w:r>
        <w:rPr>
          <w:rFonts w:eastAsia="Calibri"/>
          <w:color w:val="000000"/>
        </w:rPr>
        <w:t xml:space="preserve">and adapt to changing environmental conditions. However, </w:t>
      </w:r>
      <w:r w:rsidR="00D74993">
        <w:rPr>
          <w:rFonts w:eastAsia="Calibri"/>
          <w:color w:val="000000"/>
        </w:rPr>
        <w:t xml:space="preserve">there has been </w:t>
      </w:r>
      <w:r>
        <w:rPr>
          <w:rFonts w:eastAsia="Calibri"/>
          <w:color w:val="000000"/>
        </w:rPr>
        <w:t xml:space="preserve">widespread </w:t>
      </w:r>
      <w:r w:rsidR="00617030" w:rsidRPr="00131698">
        <w:rPr>
          <w:rFonts w:eastAsia="Calibri"/>
          <w:color w:val="000000"/>
        </w:rPr>
        <w:t>dissatisfaction with the</w:t>
      </w:r>
      <w:r>
        <w:rPr>
          <w:rFonts w:eastAsia="Calibri"/>
          <w:color w:val="000000"/>
        </w:rPr>
        <w:t xml:space="preserve"> performance of agricultural extension </w:t>
      </w:r>
      <w:r w:rsidR="00617030" w:rsidRPr="00131698">
        <w:rPr>
          <w:rFonts w:eastAsia="Calibri"/>
          <w:color w:val="000000"/>
        </w:rPr>
        <w:t xml:space="preserve">institutions </w:t>
      </w:r>
      <w:r w:rsidR="00D74993">
        <w:rPr>
          <w:rFonts w:eastAsia="Calibri"/>
          <w:color w:val="000000"/>
        </w:rPr>
        <w:t xml:space="preserve">in Africa.  </w:t>
      </w:r>
      <w:r w:rsidR="00D74993" w:rsidRPr="00131698">
        <w:rPr>
          <w:rFonts w:eastAsia="Calibri"/>
          <w:noProof/>
          <w:color w:val="000000"/>
        </w:rPr>
        <w:t xml:space="preserve">Frustration with past approaches to extension (e.g. training and visit, public extension systems) has led to </w:t>
      </w:r>
      <w:r w:rsidR="00D74993">
        <w:rPr>
          <w:rFonts w:eastAsia="Calibri"/>
          <w:color w:val="000000"/>
        </w:rPr>
        <w:t xml:space="preserve">has led to </w:t>
      </w:r>
      <w:r w:rsidR="00D74993" w:rsidRPr="00131698">
        <w:rPr>
          <w:rFonts w:eastAsia="Calibri"/>
          <w:noProof/>
          <w:color w:val="000000"/>
        </w:rPr>
        <w:t xml:space="preserve">repeated calls for innovative </w:t>
      </w:r>
      <w:r w:rsidR="00D74993">
        <w:rPr>
          <w:rFonts w:eastAsia="Calibri"/>
          <w:noProof/>
          <w:color w:val="000000"/>
        </w:rPr>
        <w:t xml:space="preserve">new </w:t>
      </w:r>
      <w:r w:rsidR="00D74993" w:rsidRPr="00131698">
        <w:rPr>
          <w:rFonts w:eastAsia="Calibri"/>
          <w:noProof/>
          <w:color w:val="000000"/>
        </w:rPr>
        <w:t>approaches to transition from ‘supply-driven’ technology transfer models to ‘demand-driven’ approaches where farmers and researchers interact with extension systems in a participatory process (Briggs, 1990; Snapp et al., 2003).</w:t>
      </w:r>
      <w:r w:rsidR="00D74993">
        <w:rPr>
          <w:rFonts w:eastAsia="Calibri"/>
          <w:noProof/>
          <w:color w:val="000000"/>
        </w:rPr>
        <w:t xml:space="preserve"> </w:t>
      </w:r>
    </w:p>
    <w:p w:rsidR="00617030" w:rsidRPr="00131698" w:rsidRDefault="00617030" w:rsidP="00FF0A37">
      <w:pPr>
        <w:autoSpaceDE w:val="0"/>
        <w:autoSpaceDN w:val="0"/>
        <w:adjustRightInd w:val="0"/>
        <w:ind w:left="-90" w:firstLine="720"/>
        <w:jc w:val="both"/>
        <w:rPr>
          <w:rFonts w:eastAsia="Calibri"/>
          <w:color w:val="000000"/>
        </w:rPr>
      </w:pPr>
      <w:r w:rsidRPr="00131698">
        <w:rPr>
          <w:rFonts w:eastAsia="Calibri"/>
          <w:color w:val="000000"/>
        </w:rPr>
        <w:t xml:space="preserve">Given the universally acknowledged importance of extension, it is </w:t>
      </w:r>
      <w:r w:rsidRPr="00131698">
        <w:rPr>
          <w:rFonts w:eastAsia="Calibri"/>
          <w:noProof/>
          <w:color w:val="000000"/>
        </w:rPr>
        <w:t>surprising</w:t>
      </w:r>
      <w:r w:rsidRPr="00131698">
        <w:rPr>
          <w:rFonts w:eastAsia="Calibri"/>
          <w:color w:val="000000"/>
        </w:rPr>
        <w:t xml:space="preserve"> how little research there is on the effectiveness of alternative extension models</w:t>
      </w:r>
      <w:r w:rsidR="00D74993">
        <w:rPr>
          <w:rFonts w:eastAsia="Calibri"/>
          <w:color w:val="000000"/>
        </w:rPr>
        <w:t xml:space="preserve"> in Africa</w:t>
      </w:r>
      <w:r w:rsidRPr="00131698">
        <w:rPr>
          <w:rFonts w:eastAsia="Calibri"/>
          <w:color w:val="000000"/>
        </w:rPr>
        <w:t xml:space="preserve">.  There are, to be sure, comprehensive and useful evaluations of alternative approaches (e.g., </w:t>
      </w:r>
      <w:proofErr w:type="spellStart"/>
      <w:r w:rsidRPr="00131698">
        <w:rPr>
          <w:rFonts w:eastAsia="Calibri"/>
          <w:color w:val="000000"/>
        </w:rPr>
        <w:t>Dejene</w:t>
      </w:r>
      <w:proofErr w:type="spellEnd"/>
      <w:r w:rsidRPr="00131698">
        <w:rPr>
          <w:rFonts w:eastAsia="Calibri"/>
          <w:color w:val="000000"/>
        </w:rPr>
        <w:t xml:space="preserve">, 1989; Biggs, 1990; Grabowski, 2014; Davis </w:t>
      </w:r>
      <w:r w:rsidRPr="00FF0A37">
        <w:rPr>
          <w:rFonts w:eastAsia="Calibri"/>
          <w:i/>
          <w:color w:val="000000"/>
        </w:rPr>
        <w:t>et al.,</w:t>
      </w:r>
      <w:r w:rsidRPr="00131698">
        <w:rPr>
          <w:rFonts w:eastAsia="Calibri"/>
          <w:color w:val="000000"/>
        </w:rPr>
        <w:t xml:space="preserve"> 2012</w:t>
      </w:r>
      <w:r w:rsidR="00D74993">
        <w:rPr>
          <w:rFonts w:eastAsia="Calibri"/>
          <w:color w:val="000000"/>
        </w:rPr>
        <w:t xml:space="preserve">; </w:t>
      </w:r>
      <w:proofErr w:type="spellStart"/>
      <w:r w:rsidRPr="00131698">
        <w:rPr>
          <w:rFonts w:eastAsia="Calibri"/>
          <w:color w:val="000000"/>
        </w:rPr>
        <w:t>Wellard</w:t>
      </w:r>
      <w:proofErr w:type="spellEnd"/>
      <w:r w:rsidRPr="00131698">
        <w:rPr>
          <w:rFonts w:eastAsia="Calibri"/>
          <w:color w:val="000000"/>
        </w:rPr>
        <w:t xml:space="preserve"> et al., 2</w:t>
      </w:r>
      <w:r w:rsidR="00FF0A37">
        <w:rPr>
          <w:rFonts w:eastAsia="Calibri"/>
          <w:color w:val="000000"/>
        </w:rPr>
        <w:t>013</w:t>
      </w:r>
      <w:r w:rsidR="00D74993">
        <w:rPr>
          <w:rFonts w:eastAsia="Calibri"/>
          <w:color w:val="000000"/>
        </w:rPr>
        <w:t xml:space="preserve">). </w:t>
      </w:r>
      <w:r w:rsidRPr="00131698">
        <w:rPr>
          <w:rFonts w:eastAsia="Calibri"/>
          <w:color w:val="000000"/>
        </w:rPr>
        <w:t xml:space="preserve"> Davis </w:t>
      </w:r>
      <w:r w:rsidRPr="00FF0A37">
        <w:rPr>
          <w:rFonts w:eastAsia="Calibri"/>
          <w:i/>
          <w:noProof/>
          <w:color w:val="000000"/>
        </w:rPr>
        <w:t>et al</w:t>
      </w:r>
      <w:r w:rsidR="00D74993">
        <w:rPr>
          <w:rFonts w:eastAsia="Calibri"/>
          <w:noProof/>
          <w:color w:val="000000"/>
        </w:rPr>
        <w:t xml:space="preserve"> </w:t>
      </w:r>
      <w:r w:rsidRPr="00131698">
        <w:rPr>
          <w:rFonts w:eastAsia="Calibri"/>
          <w:color w:val="000000"/>
        </w:rPr>
        <w:t xml:space="preserve">examined Farmer Field School approaches, which is a form of participatory action education and </w:t>
      </w:r>
      <w:r w:rsidRPr="00131698">
        <w:rPr>
          <w:rFonts w:eastAsia="Calibri"/>
          <w:noProof/>
          <w:color w:val="000000"/>
        </w:rPr>
        <w:t>demand-driven</w:t>
      </w:r>
      <w:r w:rsidRPr="00131698">
        <w:rPr>
          <w:rFonts w:eastAsia="Calibri"/>
          <w:color w:val="000000"/>
        </w:rPr>
        <w:t xml:space="preserve"> extension; this was shown to be notably successful in improving incomes and farmer knowledge at three sites in East Africa. </w:t>
      </w:r>
      <w:r w:rsidRPr="00131698">
        <w:rPr>
          <w:rFonts w:eastAsia="Calibri"/>
          <w:noProof/>
          <w:color w:val="000000"/>
        </w:rPr>
        <w:t>Further</w:t>
      </w:r>
      <w:r w:rsidRPr="00131698">
        <w:rPr>
          <w:rFonts w:eastAsia="Calibri"/>
          <w:color w:val="000000"/>
        </w:rPr>
        <w:t xml:space="preserve">, a study of participatory research and extension in </w:t>
      </w:r>
      <w:r w:rsidRPr="00131698">
        <w:rPr>
          <w:rFonts w:eastAsia="Calibri"/>
          <w:noProof/>
          <w:color w:val="000000"/>
        </w:rPr>
        <w:t>Southeast</w:t>
      </w:r>
      <w:r w:rsidRPr="00131698">
        <w:rPr>
          <w:rFonts w:eastAsia="Calibri"/>
          <w:color w:val="000000"/>
        </w:rPr>
        <w:t xml:space="preserve"> Asia found that the capacity-building components supported farmer adoption of soil conserving </w:t>
      </w:r>
      <w:r w:rsidRPr="00131698">
        <w:rPr>
          <w:rFonts w:eastAsia="Calibri"/>
          <w:color w:val="000000"/>
        </w:rPr>
        <w:lastRenderedPageBreak/>
        <w:t>technologies in addition to benefits accruing from the promotion of new technologies (Dalton et al., 2011). However, n</w:t>
      </w:r>
      <w:r w:rsidRPr="00131698">
        <w:rPr>
          <w:rFonts w:eastAsia="Calibri"/>
          <w:noProof/>
          <w:color w:val="000000"/>
        </w:rPr>
        <w:t>one</w:t>
      </w:r>
      <w:r w:rsidRPr="00131698">
        <w:rPr>
          <w:rFonts w:eastAsia="Calibri"/>
          <w:color w:val="000000"/>
        </w:rPr>
        <w:t xml:space="preserve"> of these studies evaluated conventional supply-driven extension approaches against more participatory, demand-driven approaches. </w:t>
      </w:r>
      <w:r w:rsidR="00FF0A37">
        <w:rPr>
          <w:rFonts w:eastAsia="Calibri"/>
          <w:color w:val="000000"/>
        </w:rPr>
        <w:t>Moreover, t</w:t>
      </w:r>
      <w:r w:rsidR="00FF0A37" w:rsidRPr="00131698">
        <w:rPr>
          <w:rFonts w:eastAsia="Calibri"/>
          <w:color w:val="000000"/>
        </w:rPr>
        <w:t xml:space="preserve">here </w:t>
      </w:r>
      <w:r w:rsidR="00FF0A37">
        <w:rPr>
          <w:rFonts w:eastAsia="Calibri"/>
          <w:color w:val="000000"/>
        </w:rPr>
        <w:t>is virtually evidence based on detailed farm</w:t>
      </w:r>
      <w:r w:rsidR="00FF0A37" w:rsidRPr="00131698">
        <w:rPr>
          <w:rFonts w:eastAsia="Calibri"/>
          <w:color w:val="000000"/>
        </w:rPr>
        <w:t xml:space="preserve"> panel data </w:t>
      </w:r>
      <w:r w:rsidR="00FF0A37" w:rsidRPr="00131698">
        <w:rPr>
          <w:rFonts w:eastAsia="Calibri"/>
          <w:noProof/>
          <w:color w:val="000000"/>
        </w:rPr>
        <w:t>to systematically evaluate the effectiveness of d</w:t>
      </w:r>
      <w:r w:rsidR="00FF0A37">
        <w:rPr>
          <w:rFonts w:eastAsia="Calibri"/>
          <w:noProof/>
          <w:color w:val="000000"/>
        </w:rPr>
        <w:t xml:space="preserve">emand-led </w:t>
      </w:r>
      <w:r w:rsidR="00FF0A37" w:rsidRPr="00131698">
        <w:rPr>
          <w:rFonts w:eastAsia="Calibri"/>
          <w:noProof/>
          <w:color w:val="000000"/>
        </w:rPr>
        <w:t>extension programs</w:t>
      </w:r>
      <w:r w:rsidR="00FF0A37">
        <w:rPr>
          <w:rFonts w:eastAsia="Calibri"/>
          <w:noProof/>
          <w:color w:val="000000"/>
        </w:rPr>
        <w:t xml:space="preserve"> in promoting sustainable intensification practices</w:t>
      </w:r>
      <w:r w:rsidR="00FF0A37" w:rsidRPr="00131698">
        <w:rPr>
          <w:rFonts w:eastAsia="Calibri"/>
          <w:color w:val="000000"/>
        </w:rPr>
        <w:t>.</w:t>
      </w:r>
      <w:r w:rsidR="00FF0A37">
        <w:rPr>
          <w:rFonts w:eastAsia="Calibri"/>
          <w:color w:val="000000"/>
        </w:rPr>
        <w:t xml:space="preserve">  Panel analysis techniques provide the potential to control for unobserved farm and plot conditions that plague other kinds of studies evaluating the effects of alternative extension programs. </w:t>
      </w:r>
    </w:p>
    <w:p w:rsidR="00E6344F" w:rsidRPr="00131698" w:rsidRDefault="00E6344F" w:rsidP="00BD03F4">
      <w:pPr>
        <w:ind w:left="-90"/>
        <w:jc w:val="both"/>
        <w:rPr>
          <w:color w:val="000000"/>
        </w:rPr>
      </w:pPr>
    </w:p>
    <w:p w:rsidR="00617030" w:rsidRPr="00131698" w:rsidRDefault="00617030" w:rsidP="00BD03F4">
      <w:pPr>
        <w:ind w:left="-90"/>
        <w:jc w:val="both"/>
        <w:rPr>
          <w:color w:val="000000"/>
        </w:rPr>
      </w:pPr>
      <w:r w:rsidRPr="00131698">
        <w:rPr>
          <w:b/>
          <w:caps/>
          <w:color w:val="000000"/>
        </w:rPr>
        <w:t>The Study</w:t>
      </w:r>
    </w:p>
    <w:p w:rsidR="00BD03F4" w:rsidRDefault="00617030" w:rsidP="00BD03F4">
      <w:pPr>
        <w:ind w:left="-90" w:firstLine="720"/>
        <w:jc w:val="both"/>
        <w:rPr>
          <w:rFonts w:eastAsia="Calibri"/>
          <w:color w:val="000000"/>
        </w:rPr>
      </w:pPr>
      <w:r w:rsidRPr="00131698">
        <w:rPr>
          <w:rFonts w:eastAsia="Calibri"/>
          <w:noProof/>
          <w:color w:val="000000"/>
        </w:rPr>
        <w:t xml:space="preserve">We evaluate conventional supply-driven extension approaches against more participatory, demand-driven approaches on how they affect households decision to adopt five sustainable intensification technologies in two central districts of Ntcheu and Dedza in Malawi. </w:t>
      </w:r>
      <w:r w:rsidRPr="00131698">
        <w:rPr>
          <w:rFonts w:eastAsia="Calibri"/>
          <w:color w:val="000000"/>
        </w:rPr>
        <w:t xml:space="preserve">The analysis </w:t>
      </w:r>
      <w:r w:rsidRPr="00131698">
        <w:rPr>
          <w:rFonts w:eastAsia="Calibri"/>
          <w:noProof/>
          <w:color w:val="000000"/>
        </w:rPr>
        <w:t>is based</w:t>
      </w:r>
      <w:r w:rsidRPr="00131698">
        <w:rPr>
          <w:rFonts w:eastAsia="Calibri"/>
          <w:color w:val="000000"/>
        </w:rPr>
        <w:t xml:space="preserve"> on a panel of roughly 640 </w:t>
      </w:r>
      <w:r w:rsidR="00F81F19">
        <w:rPr>
          <w:rFonts w:eastAsia="Calibri"/>
          <w:color w:val="000000"/>
        </w:rPr>
        <w:t xml:space="preserve">maize </w:t>
      </w:r>
      <w:r w:rsidRPr="00131698">
        <w:rPr>
          <w:rFonts w:eastAsia="Calibri"/>
          <w:color w:val="000000"/>
        </w:rPr>
        <w:t xml:space="preserve">plots on 320 smallholder farms in two districts of Malawi over four years from 2013 to 2016. </w:t>
      </w:r>
      <w:r w:rsidR="00F81F19">
        <w:rPr>
          <w:rFonts w:eastAsia="Calibri"/>
          <w:color w:val="000000"/>
        </w:rPr>
        <w:t>The analysis compares four alternative types of farmer contact with extension services:</w:t>
      </w:r>
      <w:r w:rsidRPr="00131698">
        <w:rPr>
          <w:rFonts w:eastAsia="Calibri"/>
          <w:noProof/>
          <w:color w:val="000000"/>
        </w:rPr>
        <w:t xml:space="preserve"> (i) no extension contact (36.5% of all sampled households), which is the control group; (ii) received extension services from Africa RISING</w:t>
      </w:r>
      <w:r w:rsidR="00F81F19">
        <w:rPr>
          <w:rFonts w:eastAsia="Calibri"/>
          <w:noProof/>
          <w:color w:val="000000"/>
        </w:rPr>
        <w:t xml:space="preserve">, where </w:t>
      </w:r>
      <w:r w:rsidR="00F81F19">
        <w:rPr>
          <w:rFonts w:eastAsia="Calibri"/>
          <w:noProof/>
          <w:color w:val="000000"/>
        </w:rPr>
        <w:lastRenderedPageBreak/>
        <w:t>farmers were encouraged to conduct</w:t>
      </w:r>
      <w:r w:rsidRPr="00131698">
        <w:rPr>
          <w:rFonts w:eastAsia="Calibri"/>
          <w:noProof/>
          <w:color w:val="000000"/>
        </w:rPr>
        <w:t xml:space="preserve"> </w:t>
      </w:r>
      <w:r w:rsidR="00F81F19">
        <w:rPr>
          <w:rFonts w:eastAsia="Calibri"/>
          <w:noProof/>
          <w:color w:val="000000"/>
        </w:rPr>
        <w:t>their own</w:t>
      </w:r>
      <w:r w:rsidRPr="00131698">
        <w:rPr>
          <w:rFonts w:eastAsia="Calibri"/>
          <w:noProof/>
          <w:color w:val="000000"/>
        </w:rPr>
        <w:t xml:space="preserve"> </w:t>
      </w:r>
      <w:r w:rsidR="00F81F19">
        <w:rPr>
          <w:rFonts w:eastAsia="Calibri"/>
          <w:noProof/>
          <w:color w:val="000000"/>
        </w:rPr>
        <w:t xml:space="preserve">experimentation with the practices promoted by Africa RISING </w:t>
      </w:r>
      <w:r w:rsidRPr="00131698">
        <w:rPr>
          <w:rFonts w:eastAsia="Calibri"/>
          <w:noProof/>
          <w:color w:val="000000"/>
        </w:rPr>
        <w:t xml:space="preserve">(7.8%); (iii) interaction with </w:t>
      </w:r>
      <w:r w:rsidR="00F81F19">
        <w:rPr>
          <w:rFonts w:eastAsia="Calibri"/>
          <w:noProof/>
          <w:color w:val="000000"/>
        </w:rPr>
        <w:t>Malawian Go</w:t>
      </w:r>
      <w:r w:rsidRPr="00131698">
        <w:rPr>
          <w:rFonts w:eastAsia="Calibri"/>
          <w:noProof/>
          <w:color w:val="000000"/>
        </w:rPr>
        <w:t xml:space="preserve">vernment </w:t>
      </w:r>
      <w:r w:rsidR="00F81F19">
        <w:rPr>
          <w:rFonts w:eastAsia="Calibri"/>
          <w:noProof/>
          <w:color w:val="000000"/>
        </w:rPr>
        <w:t>E</w:t>
      </w:r>
      <w:r w:rsidRPr="00131698">
        <w:rPr>
          <w:rFonts w:eastAsia="Calibri"/>
          <w:noProof/>
          <w:color w:val="000000"/>
        </w:rPr>
        <w:t xml:space="preserve">xtension staff (13.3%); and (iv) interaction with both  Africa RISING and government extension staff visits (42.2%). </w:t>
      </w:r>
      <w:r w:rsidR="00F81F19">
        <w:rPr>
          <w:rFonts w:eastAsia="Calibri"/>
          <w:bCs/>
          <w:color w:val="000000"/>
        </w:rPr>
        <w:t>Africa RISING</w:t>
      </w:r>
      <w:r w:rsidRPr="00131698">
        <w:rPr>
          <w:rFonts w:eastAsia="Calibri"/>
          <w:bCs/>
          <w:color w:val="000000"/>
        </w:rPr>
        <w:t xml:space="preserve"> </w:t>
      </w:r>
      <w:r w:rsidR="00104100">
        <w:rPr>
          <w:rFonts w:eastAsia="Calibri"/>
          <w:bCs/>
          <w:color w:val="000000"/>
        </w:rPr>
        <w:t xml:space="preserve">(AR) </w:t>
      </w:r>
      <w:r w:rsidR="00F81F19">
        <w:rPr>
          <w:rFonts w:eastAsia="Calibri"/>
          <w:bCs/>
          <w:color w:val="000000"/>
        </w:rPr>
        <w:t xml:space="preserve">features a demand-led approach where farmers are encouraged to experiment with technologies such as maize-legume intercropping, cultivation of pigeon pea, 3-season crop rotations featuring maize/pigeon pea, groundnut/pigeon pea, and maize monocrop, and the use of organic and inorganic fertilizers. </w:t>
      </w:r>
      <w:r w:rsidR="00341268">
        <w:rPr>
          <w:rFonts w:eastAsia="Calibri"/>
          <w:bCs/>
          <w:color w:val="000000"/>
        </w:rPr>
        <w:t xml:space="preserve">AR’s promotion of pigeon pea is based on the voluminous biomass generated by this plant, which can therefore raise levels of soil organic matter more quickly than most other crops. </w:t>
      </w:r>
      <w:r w:rsidR="00B44DBD">
        <w:rPr>
          <w:rFonts w:eastAsia="Calibri"/>
          <w:bCs/>
          <w:color w:val="000000"/>
        </w:rPr>
        <w:t xml:space="preserve">Pigeon pea also provides expanding market demand and the nutritional benefits of a more diversified legume-dense diet. </w:t>
      </w:r>
      <w:r w:rsidRPr="00131698">
        <w:rPr>
          <w:rFonts w:eastAsia="Calibri"/>
          <w:color w:val="000000"/>
        </w:rPr>
        <w:t xml:space="preserve">We </w:t>
      </w:r>
      <w:r w:rsidR="00FB13B7">
        <w:rPr>
          <w:rFonts w:eastAsia="Calibri"/>
          <w:color w:val="000000"/>
        </w:rPr>
        <w:t xml:space="preserve">use econometric techniques to estimate </w:t>
      </w:r>
      <w:r w:rsidRPr="00131698">
        <w:rPr>
          <w:rFonts w:eastAsia="Calibri"/>
          <w:color w:val="000000"/>
        </w:rPr>
        <w:t xml:space="preserve">the </w:t>
      </w:r>
      <w:r w:rsidR="00F81F19">
        <w:rPr>
          <w:rFonts w:eastAsia="Calibri"/>
          <w:color w:val="000000"/>
        </w:rPr>
        <w:t xml:space="preserve">probability of farmers adopting these technologies and practices on their most and least fertile maize fields conditional on participation in </w:t>
      </w:r>
      <w:r w:rsidRPr="00131698">
        <w:rPr>
          <w:rFonts w:eastAsia="Calibri"/>
          <w:color w:val="000000"/>
        </w:rPr>
        <w:t xml:space="preserve">these four extension categories (none, AR, government, both </w:t>
      </w:r>
      <w:r w:rsidRPr="00131698">
        <w:rPr>
          <w:rFonts w:eastAsia="Calibri"/>
          <w:noProof/>
          <w:color w:val="000000"/>
        </w:rPr>
        <w:t>AR,</w:t>
      </w:r>
      <w:r w:rsidRPr="00131698">
        <w:rPr>
          <w:rFonts w:eastAsia="Calibri"/>
          <w:color w:val="000000"/>
        </w:rPr>
        <w:t xml:space="preserve"> and government)</w:t>
      </w:r>
      <w:r w:rsidR="00F81F19">
        <w:rPr>
          <w:rFonts w:eastAsia="Calibri"/>
          <w:color w:val="000000"/>
        </w:rPr>
        <w:t xml:space="preserve">. </w:t>
      </w:r>
    </w:p>
    <w:p w:rsidR="00B44DBD" w:rsidRDefault="00B44DBD" w:rsidP="00BD03F4">
      <w:pPr>
        <w:ind w:left="-90" w:firstLine="720"/>
        <w:jc w:val="both"/>
        <w:rPr>
          <w:rFonts w:eastAsia="Calibri"/>
          <w:color w:val="000000"/>
        </w:rPr>
      </w:pPr>
      <w:r>
        <w:rPr>
          <w:rFonts w:eastAsia="Calibri"/>
          <w:color w:val="000000"/>
        </w:rPr>
        <w:t xml:space="preserve">The study is also designed to understand how risk aversion and high time-preferences for money affect farmer willingness to adopt sustainable intensification practices.  Many such practices require significant labor input or cash costs up front even though the </w:t>
      </w:r>
      <w:r w:rsidR="009C768C">
        <w:rPr>
          <w:rFonts w:eastAsia="Calibri"/>
          <w:color w:val="000000"/>
        </w:rPr>
        <w:t xml:space="preserve">yield benefits may not manifest until several years into the future.  </w:t>
      </w:r>
      <w:r w:rsidR="00BB1C21">
        <w:rPr>
          <w:rFonts w:eastAsia="Calibri"/>
          <w:color w:val="000000"/>
        </w:rPr>
        <w:t>F</w:t>
      </w:r>
      <w:r w:rsidR="009C768C">
        <w:rPr>
          <w:rFonts w:eastAsia="Calibri"/>
          <w:color w:val="000000"/>
        </w:rPr>
        <w:t>uture benefits may be substantial</w:t>
      </w:r>
      <w:r w:rsidR="00BB1C21">
        <w:rPr>
          <w:rFonts w:eastAsia="Calibri"/>
          <w:color w:val="000000"/>
        </w:rPr>
        <w:t xml:space="preserve">; however, </w:t>
      </w:r>
      <w:r w:rsidR="009C768C">
        <w:rPr>
          <w:rFonts w:eastAsia="Calibri"/>
          <w:color w:val="000000"/>
        </w:rPr>
        <w:t xml:space="preserve">households with </w:t>
      </w:r>
      <w:r w:rsidR="00BB1C21">
        <w:rPr>
          <w:rFonts w:eastAsia="Calibri"/>
          <w:color w:val="000000"/>
        </w:rPr>
        <w:t xml:space="preserve">severe </w:t>
      </w:r>
      <w:r w:rsidR="009C768C">
        <w:rPr>
          <w:rFonts w:eastAsia="Calibri"/>
          <w:color w:val="000000"/>
        </w:rPr>
        <w:t xml:space="preserve">food insecurity challenges may </w:t>
      </w:r>
      <w:r w:rsidR="00BB1C21">
        <w:rPr>
          <w:rFonts w:eastAsia="Calibri"/>
          <w:color w:val="000000"/>
        </w:rPr>
        <w:t>prioritize</w:t>
      </w:r>
      <w:r w:rsidR="009C768C">
        <w:rPr>
          <w:rFonts w:eastAsia="Calibri"/>
          <w:color w:val="000000"/>
        </w:rPr>
        <w:t xml:space="preserve"> farming practices that provide the most immediate benefits</w:t>
      </w:r>
      <w:r w:rsidR="00BB1C21">
        <w:rPr>
          <w:rFonts w:eastAsia="Calibri"/>
          <w:color w:val="000000"/>
        </w:rPr>
        <w:t>, regardless of long-term consequences</w:t>
      </w:r>
      <w:r w:rsidR="009C768C">
        <w:rPr>
          <w:rFonts w:eastAsia="Calibri"/>
          <w:color w:val="000000"/>
        </w:rPr>
        <w:t xml:space="preserve">.  Relatedly, poor farmers are </w:t>
      </w:r>
      <w:proofErr w:type="gramStart"/>
      <w:r w:rsidR="009C768C">
        <w:rPr>
          <w:rFonts w:eastAsia="Calibri"/>
          <w:color w:val="000000"/>
        </w:rPr>
        <w:t>loathe</w:t>
      </w:r>
      <w:proofErr w:type="gramEnd"/>
      <w:r w:rsidR="009C768C">
        <w:rPr>
          <w:rFonts w:eastAsia="Calibri"/>
          <w:color w:val="000000"/>
        </w:rPr>
        <w:t xml:space="preserve"> to take risks, and this is another potential impediment to the adoption of untested sustainable intensification practices.  The trust that farmers put in alternative extension approaches, and the ability for them to experiment without risk are therefore important issues.  Evidence on what extension approaches are most effective for smallholder farmers can provide valuable guidance to governments and development partners in Malawi and the wider region.  </w:t>
      </w:r>
    </w:p>
    <w:p w:rsidR="00F81F19" w:rsidRPr="00131698" w:rsidRDefault="00F81F19" w:rsidP="00BD03F4">
      <w:pPr>
        <w:ind w:left="-90" w:firstLine="720"/>
        <w:jc w:val="both"/>
        <w:rPr>
          <w:rFonts w:eastAsia="Calibri"/>
          <w:noProof/>
          <w:color w:val="000000"/>
          <w:lang w:eastAsia="en-ZW"/>
        </w:rPr>
      </w:pPr>
    </w:p>
    <w:p w:rsidR="00A35107" w:rsidRDefault="00A35107" w:rsidP="00BD03F4">
      <w:pPr>
        <w:ind w:left="-90"/>
        <w:jc w:val="both"/>
        <w:rPr>
          <w:rFonts w:eastAsia="Calibri"/>
          <w:b/>
          <w:noProof/>
          <w:color w:val="000000"/>
          <w:lang w:eastAsia="en-ZW"/>
        </w:rPr>
      </w:pPr>
    </w:p>
    <w:p w:rsidR="00A35107" w:rsidRDefault="00A35107" w:rsidP="00BD03F4">
      <w:pPr>
        <w:ind w:left="-90"/>
        <w:jc w:val="both"/>
        <w:rPr>
          <w:rFonts w:eastAsia="Calibri"/>
          <w:b/>
          <w:noProof/>
          <w:color w:val="000000"/>
          <w:lang w:eastAsia="en-ZW"/>
        </w:rPr>
      </w:pPr>
    </w:p>
    <w:p w:rsidR="00A35107" w:rsidRDefault="00A35107" w:rsidP="00BD03F4">
      <w:pPr>
        <w:ind w:left="-90"/>
        <w:jc w:val="both"/>
        <w:rPr>
          <w:rFonts w:eastAsia="Calibri"/>
          <w:b/>
          <w:noProof/>
          <w:color w:val="000000"/>
          <w:lang w:eastAsia="en-ZW"/>
        </w:rPr>
      </w:pPr>
    </w:p>
    <w:p w:rsidR="00617030" w:rsidRPr="00131698" w:rsidRDefault="00617030" w:rsidP="00BD03F4">
      <w:pPr>
        <w:ind w:left="-90"/>
        <w:jc w:val="both"/>
        <w:rPr>
          <w:rFonts w:eastAsia="Calibri"/>
          <w:b/>
          <w:noProof/>
          <w:color w:val="000000"/>
          <w:lang w:eastAsia="en-ZW"/>
        </w:rPr>
      </w:pPr>
      <w:r w:rsidRPr="00131698">
        <w:rPr>
          <w:rFonts w:eastAsia="Calibri"/>
          <w:b/>
          <w:noProof/>
          <w:color w:val="000000"/>
          <w:lang w:eastAsia="en-ZW"/>
        </w:rPr>
        <w:t>MAIN FINDINGS</w:t>
      </w:r>
    </w:p>
    <w:p w:rsidR="00617030" w:rsidRPr="00131698" w:rsidRDefault="00617030" w:rsidP="00BD03F4">
      <w:pPr>
        <w:pStyle w:val="Heading2"/>
        <w:ind w:left="-90" w:firstLine="720"/>
        <w:rPr>
          <w:rFonts w:ascii="Times New Roman" w:hAnsi="Times New Roman"/>
          <w:i/>
          <w:color w:val="000000"/>
          <w:sz w:val="24"/>
          <w:szCs w:val="24"/>
          <w:u w:val="single"/>
        </w:rPr>
      </w:pPr>
      <w:r w:rsidRPr="00131698">
        <w:rPr>
          <w:rFonts w:ascii="Times New Roman" w:hAnsi="Times New Roman"/>
          <w:i/>
          <w:color w:val="000000"/>
          <w:sz w:val="24"/>
          <w:szCs w:val="24"/>
          <w:u w:val="single"/>
        </w:rPr>
        <w:t xml:space="preserve">Technology 1: Crop rotation </w:t>
      </w:r>
    </w:p>
    <w:p w:rsidR="00617030" w:rsidRPr="00131698" w:rsidRDefault="00FB13B7" w:rsidP="00341268">
      <w:pPr>
        <w:ind w:left="-90"/>
        <w:jc w:val="both"/>
        <w:rPr>
          <w:color w:val="000000"/>
        </w:rPr>
      </w:pPr>
      <w:r>
        <w:rPr>
          <w:color w:val="000000"/>
        </w:rPr>
        <w:t xml:space="preserve">Farmer adoption of crop rotations were </w:t>
      </w:r>
      <w:r w:rsidR="00BD03F4" w:rsidRPr="00131698">
        <w:rPr>
          <w:color w:val="000000"/>
        </w:rPr>
        <w:t>strong</w:t>
      </w:r>
      <w:r>
        <w:rPr>
          <w:color w:val="000000"/>
        </w:rPr>
        <w:t>ly</w:t>
      </w:r>
      <w:r w:rsidR="00BD03F4" w:rsidRPr="00131698">
        <w:rPr>
          <w:color w:val="000000"/>
        </w:rPr>
        <w:t xml:space="preserve"> </w:t>
      </w:r>
      <w:r>
        <w:rPr>
          <w:color w:val="000000"/>
        </w:rPr>
        <w:t xml:space="preserve">and </w:t>
      </w:r>
      <w:r w:rsidR="00BD03F4" w:rsidRPr="00131698">
        <w:rPr>
          <w:color w:val="000000"/>
        </w:rPr>
        <w:t>positive</w:t>
      </w:r>
      <w:r>
        <w:rPr>
          <w:color w:val="000000"/>
        </w:rPr>
        <w:t xml:space="preserve">ly influenced by </w:t>
      </w:r>
      <w:r w:rsidR="00BD03F4" w:rsidRPr="00131698">
        <w:rPr>
          <w:color w:val="000000"/>
        </w:rPr>
        <w:t xml:space="preserve">combined extension </w:t>
      </w:r>
      <w:r>
        <w:rPr>
          <w:color w:val="000000"/>
        </w:rPr>
        <w:t>contacts</w:t>
      </w:r>
      <w:r w:rsidR="00BD03F4" w:rsidRPr="00131698">
        <w:rPr>
          <w:color w:val="000000"/>
        </w:rPr>
        <w:t xml:space="preserve"> from A</w:t>
      </w:r>
      <w:r>
        <w:rPr>
          <w:color w:val="000000"/>
        </w:rPr>
        <w:t xml:space="preserve">R and the Government extension service. </w:t>
      </w:r>
      <w:r w:rsidR="00617030" w:rsidRPr="00131698">
        <w:rPr>
          <w:color w:val="000000"/>
        </w:rPr>
        <w:t xml:space="preserve">The probability of practicing </w:t>
      </w:r>
      <w:r w:rsidR="00617030" w:rsidRPr="00131698">
        <w:rPr>
          <w:noProof/>
          <w:color w:val="000000"/>
        </w:rPr>
        <w:t>maize-legume</w:t>
      </w:r>
      <w:r w:rsidR="00617030" w:rsidRPr="00131698">
        <w:rPr>
          <w:color w:val="000000"/>
        </w:rPr>
        <w:t xml:space="preserve"> rotation was high</w:t>
      </w:r>
      <w:r>
        <w:rPr>
          <w:color w:val="000000"/>
        </w:rPr>
        <w:t>est</w:t>
      </w:r>
      <w:r w:rsidR="00617030" w:rsidRPr="00131698">
        <w:rPr>
          <w:color w:val="000000"/>
        </w:rPr>
        <w:t xml:space="preserve"> on plots owned by mal</w:t>
      </w:r>
      <w:r>
        <w:rPr>
          <w:color w:val="000000"/>
        </w:rPr>
        <w:t xml:space="preserve">e household heads and on plots </w:t>
      </w:r>
      <w:r w:rsidR="00617030" w:rsidRPr="00131698">
        <w:rPr>
          <w:noProof/>
          <w:color w:val="000000"/>
        </w:rPr>
        <w:t>regarded</w:t>
      </w:r>
      <w:r w:rsidR="00617030" w:rsidRPr="00131698">
        <w:rPr>
          <w:color w:val="000000"/>
        </w:rPr>
        <w:t xml:space="preserve"> as less fertile by the </w:t>
      </w:r>
      <w:r w:rsidR="00617030" w:rsidRPr="00131698">
        <w:rPr>
          <w:noProof/>
          <w:color w:val="000000"/>
        </w:rPr>
        <w:t>household</w:t>
      </w:r>
      <w:r>
        <w:rPr>
          <w:noProof/>
          <w:color w:val="000000"/>
        </w:rPr>
        <w:t xml:space="preserve">. This may follow from the fact that rotations are an important means of </w:t>
      </w:r>
      <w:r>
        <w:rPr>
          <w:color w:val="000000"/>
        </w:rPr>
        <w:t xml:space="preserve">rebuilding soil </w:t>
      </w:r>
      <w:r w:rsidR="00BD03F4" w:rsidRPr="00131698">
        <w:rPr>
          <w:color w:val="000000"/>
        </w:rPr>
        <w:t>fertility</w:t>
      </w:r>
      <w:r>
        <w:rPr>
          <w:color w:val="000000"/>
        </w:rPr>
        <w:t xml:space="preserve"> and organic matter</w:t>
      </w:r>
      <w:r w:rsidR="00BD03F4" w:rsidRPr="00131698">
        <w:rPr>
          <w:color w:val="000000"/>
        </w:rPr>
        <w:t>.</w:t>
      </w:r>
      <w:r w:rsidR="0009752C">
        <w:rPr>
          <w:color w:val="000000"/>
        </w:rPr>
        <w:t xml:space="preserve"> </w:t>
      </w:r>
      <w:r w:rsidR="00617030" w:rsidRPr="00131698">
        <w:rPr>
          <w:color w:val="000000"/>
        </w:rPr>
        <w:t xml:space="preserve">Counter to </w:t>
      </w:r>
      <w:r>
        <w:rPr>
          <w:color w:val="000000"/>
        </w:rPr>
        <w:t>the view that</w:t>
      </w:r>
      <w:r w:rsidR="00617030" w:rsidRPr="00131698">
        <w:rPr>
          <w:noProof/>
          <w:color w:val="000000"/>
        </w:rPr>
        <w:t xml:space="preserve"> crop rotation</w:t>
      </w:r>
      <w:r>
        <w:rPr>
          <w:noProof/>
          <w:color w:val="000000"/>
        </w:rPr>
        <w:t xml:space="preserve">s is more likely to be adopted by hosueholds with greater farm sizes, our results show </w:t>
      </w:r>
      <w:r w:rsidR="00617030" w:rsidRPr="00131698">
        <w:rPr>
          <w:noProof/>
          <w:color w:val="000000"/>
        </w:rPr>
        <w:t>no significant relationship between households with more land endowments and the probability of practicing crop rotation.</w:t>
      </w:r>
      <w:r w:rsidR="00617030" w:rsidRPr="00131698">
        <w:rPr>
          <w:color w:val="000000"/>
        </w:rPr>
        <w:t xml:space="preserve"> </w:t>
      </w:r>
    </w:p>
    <w:p w:rsidR="00617030" w:rsidRPr="00131698" w:rsidRDefault="00617030" w:rsidP="00BD03F4">
      <w:pPr>
        <w:pStyle w:val="Heading2"/>
        <w:ind w:left="-90" w:right="-166" w:firstLine="720"/>
        <w:rPr>
          <w:rFonts w:ascii="Times New Roman" w:hAnsi="Times New Roman"/>
          <w:i/>
          <w:color w:val="000000"/>
          <w:sz w:val="24"/>
          <w:szCs w:val="24"/>
          <w:u w:val="single"/>
        </w:rPr>
      </w:pPr>
      <w:r w:rsidRPr="00131698">
        <w:rPr>
          <w:rFonts w:ascii="Times New Roman" w:hAnsi="Times New Roman"/>
          <w:i/>
          <w:color w:val="000000"/>
          <w:sz w:val="24"/>
          <w:szCs w:val="24"/>
          <w:u w:val="single"/>
        </w:rPr>
        <w:t xml:space="preserve">Technology 2: </w:t>
      </w:r>
      <w:r w:rsidRPr="00131698">
        <w:rPr>
          <w:rFonts w:ascii="Times New Roman" w:hAnsi="Times New Roman"/>
          <w:i/>
          <w:noProof/>
          <w:color w:val="000000"/>
          <w:sz w:val="24"/>
          <w:szCs w:val="24"/>
          <w:u w:val="single"/>
        </w:rPr>
        <w:t>Maize-legume</w:t>
      </w:r>
      <w:r w:rsidRPr="00131698">
        <w:rPr>
          <w:rFonts w:ascii="Times New Roman" w:hAnsi="Times New Roman"/>
          <w:i/>
          <w:color w:val="000000"/>
          <w:sz w:val="24"/>
          <w:szCs w:val="24"/>
          <w:u w:val="single"/>
        </w:rPr>
        <w:t xml:space="preserve"> intercrop</w:t>
      </w:r>
    </w:p>
    <w:p w:rsidR="00110DEA" w:rsidRDefault="00FB13B7" w:rsidP="00341268">
      <w:pPr>
        <w:ind w:left="-90"/>
        <w:jc w:val="both"/>
        <w:rPr>
          <w:color w:val="000000"/>
        </w:rPr>
      </w:pPr>
      <w:r>
        <w:rPr>
          <w:color w:val="000000"/>
        </w:rPr>
        <w:t>H</w:t>
      </w:r>
      <w:r w:rsidR="00617030" w:rsidRPr="00131698">
        <w:rPr>
          <w:color w:val="000000"/>
        </w:rPr>
        <w:t xml:space="preserve">ouseholds </w:t>
      </w:r>
      <w:r>
        <w:rPr>
          <w:color w:val="000000"/>
        </w:rPr>
        <w:t xml:space="preserve">practicing </w:t>
      </w:r>
      <w:r w:rsidR="00617030" w:rsidRPr="00131698">
        <w:rPr>
          <w:noProof/>
          <w:color w:val="000000"/>
        </w:rPr>
        <w:t>maize-legume</w:t>
      </w:r>
      <w:r w:rsidR="00617030" w:rsidRPr="00131698">
        <w:rPr>
          <w:color w:val="000000"/>
        </w:rPr>
        <w:t xml:space="preserve"> intercrops </w:t>
      </w:r>
      <w:r>
        <w:rPr>
          <w:color w:val="000000"/>
        </w:rPr>
        <w:t xml:space="preserve">were more likely to have </w:t>
      </w:r>
      <w:r w:rsidR="00110DEA">
        <w:rPr>
          <w:color w:val="000000"/>
        </w:rPr>
        <w:t xml:space="preserve">older household heads, </w:t>
      </w:r>
      <w:r w:rsidR="00617030" w:rsidRPr="00131698">
        <w:rPr>
          <w:noProof/>
          <w:color w:val="000000"/>
        </w:rPr>
        <w:t>larger</w:t>
      </w:r>
      <w:r w:rsidR="00617030" w:rsidRPr="00131698">
        <w:rPr>
          <w:color w:val="000000"/>
        </w:rPr>
        <w:t xml:space="preserve"> plots</w:t>
      </w:r>
      <w:r w:rsidR="00110DEA">
        <w:rPr>
          <w:color w:val="000000"/>
        </w:rPr>
        <w:t>, and more fertile plots</w:t>
      </w:r>
      <w:r w:rsidR="00617030" w:rsidRPr="00131698">
        <w:rPr>
          <w:color w:val="000000"/>
        </w:rPr>
        <w:t xml:space="preserve">. Interestingly households that are </w:t>
      </w:r>
      <w:r w:rsidR="00617030" w:rsidRPr="00131698">
        <w:rPr>
          <w:noProof/>
          <w:color w:val="000000"/>
        </w:rPr>
        <w:t>perceived</w:t>
      </w:r>
      <w:r w:rsidR="00617030" w:rsidRPr="00131698">
        <w:rPr>
          <w:color w:val="000000"/>
        </w:rPr>
        <w:t xml:space="preserve"> to be </w:t>
      </w:r>
      <w:r w:rsidR="00110DEA">
        <w:rPr>
          <w:color w:val="000000"/>
        </w:rPr>
        <w:t>less risk-averse than most other households</w:t>
      </w:r>
      <w:r w:rsidR="00617030" w:rsidRPr="00131698">
        <w:rPr>
          <w:color w:val="000000"/>
        </w:rPr>
        <w:t xml:space="preserve"> had the high probability of intercropping maize and legumes. </w:t>
      </w:r>
      <w:r w:rsidR="00110DEA">
        <w:rPr>
          <w:noProof/>
          <w:color w:val="000000"/>
        </w:rPr>
        <w:t>And</w:t>
      </w:r>
      <w:r w:rsidR="00617030" w:rsidRPr="00131698">
        <w:rPr>
          <w:color w:val="000000"/>
        </w:rPr>
        <w:t xml:space="preserve"> households intercropping legumes and </w:t>
      </w:r>
      <w:r w:rsidR="00617030" w:rsidRPr="00131698">
        <w:rPr>
          <w:noProof/>
          <w:color w:val="000000"/>
        </w:rPr>
        <w:t>maize</w:t>
      </w:r>
      <w:r w:rsidR="00617030" w:rsidRPr="00131698">
        <w:rPr>
          <w:color w:val="000000"/>
        </w:rPr>
        <w:t xml:space="preserve"> </w:t>
      </w:r>
      <w:r w:rsidR="00110DEA">
        <w:rPr>
          <w:color w:val="000000"/>
        </w:rPr>
        <w:t xml:space="preserve">were less likely to be </w:t>
      </w:r>
      <w:r w:rsidR="00617030" w:rsidRPr="00131698">
        <w:rPr>
          <w:color w:val="000000"/>
        </w:rPr>
        <w:t xml:space="preserve">in contact with Africa RISING. It should </w:t>
      </w:r>
      <w:r w:rsidR="00617030" w:rsidRPr="00131698">
        <w:rPr>
          <w:noProof/>
          <w:color w:val="000000"/>
        </w:rPr>
        <w:t>be noted</w:t>
      </w:r>
      <w:r w:rsidR="00617030" w:rsidRPr="00131698">
        <w:rPr>
          <w:color w:val="000000"/>
        </w:rPr>
        <w:t xml:space="preserve"> that legumes </w:t>
      </w:r>
      <w:r w:rsidR="00110DEA">
        <w:rPr>
          <w:color w:val="000000"/>
        </w:rPr>
        <w:t>such as g</w:t>
      </w:r>
      <w:r w:rsidR="00617030" w:rsidRPr="00131698">
        <w:rPr>
          <w:color w:val="000000"/>
        </w:rPr>
        <w:t>roundnut and bean</w:t>
      </w:r>
      <w:r w:rsidR="00110DEA">
        <w:rPr>
          <w:color w:val="000000"/>
        </w:rPr>
        <w:t>s</w:t>
      </w:r>
      <w:r w:rsidR="00617030" w:rsidRPr="00131698">
        <w:rPr>
          <w:color w:val="000000"/>
        </w:rPr>
        <w:t xml:space="preserve"> have </w:t>
      </w:r>
      <w:r w:rsidR="00617030" w:rsidRPr="00131698">
        <w:rPr>
          <w:noProof/>
          <w:color w:val="000000"/>
        </w:rPr>
        <w:t>been grown</w:t>
      </w:r>
      <w:r w:rsidR="00617030" w:rsidRPr="00131698">
        <w:rPr>
          <w:color w:val="000000"/>
        </w:rPr>
        <w:t xml:space="preserve"> for decades in the sampled districts of </w:t>
      </w:r>
      <w:proofErr w:type="spellStart"/>
      <w:r w:rsidR="00617030" w:rsidRPr="00131698">
        <w:rPr>
          <w:color w:val="000000"/>
        </w:rPr>
        <w:t>Ntcheu</w:t>
      </w:r>
      <w:proofErr w:type="spellEnd"/>
      <w:r w:rsidR="00617030" w:rsidRPr="00131698">
        <w:rPr>
          <w:color w:val="000000"/>
        </w:rPr>
        <w:t xml:space="preserve"> and </w:t>
      </w:r>
      <w:proofErr w:type="spellStart"/>
      <w:r w:rsidR="00617030" w:rsidRPr="00131698">
        <w:rPr>
          <w:color w:val="000000"/>
        </w:rPr>
        <w:t>Dedza</w:t>
      </w:r>
      <w:proofErr w:type="spellEnd"/>
      <w:r w:rsidR="00617030" w:rsidRPr="00131698">
        <w:rPr>
          <w:color w:val="000000"/>
        </w:rPr>
        <w:t xml:space="preserve">, and in recent years’ soybean has become a </w:t>
      </w:r>
      <w:r w:rsidR="00617030" w:rsidRPr="00131698">
        <w:rPr>
          <w:noProof/>
          <w:color w:val="000000"/>
        </w:rPr>
        <w:t>relatively</w:t>
      </w:r>
      <w:r w:rsidR="00617030" w:rsidRPr="00131698">
        <w:rPr>
          <w:color w:val="000000"/>
        </w:rPr>
        <w:t xml:space="preserve"> common crop. </w:t>
      </w:r>
      <w:r w:rsidR="00110DEA">
        <w:rPr>
          <w:color w:val="000000"/>
        </w:rPr>
        <w:t xml:space="preserve"> </w:t>
      </w:r>
      <w:r w:rsidR="00617030" w:rsidRPr="00131698">
        <w:rPr>
          <w:color w:val="000000"/>
        </w:rPr>
        <w:t xml:space="preserve">Knowledge </w:t>
      </w:r>
      <w:r w:rsidR="00110DEA">
        <w:rPr>
          <w:color w:val="000000"/>
        </w:rPr>
        <w:t xml:space="preserve">about maize-legume intercropping </w:t>
      </w:r>
      <w:r w:rsidR="00617030" w:rsidRPr="00131698">
        <w:rPr>
          <w:color w:val="000000"/>
        </w:rPr>
        <w:t xml:space="preserve">is </w:t>
      </w:r>
      <w:r w:rsidR="00110DEA">
        <w:rPr>
          <w:color w:val="000000"/>
        </w:rPr>
        <w:t xml:space="preserve">already quite widespread, </w:t>
      </w:r>
      <w:r w:rsidR="00617030" w:rsidRPr="00131698">
        <w:rPr>
          <w:color w:val="000000"/>
        </w:rPr>
        <w:t xml:space="preserve">hence even for households that had no extension </w:t>
      </w:r>
      <w:r w:rsidR="00617030" w:rsidRPr="00131698">
        <w:rPr>
          <w:noProof/>
          <w:color w:val="000000"/>
        </w:rPr>
        <w:t>advice,</w:t>
      </w:r>
      <w:r w:rsidR="00617030" w:rsidRPr="00131698">
        <w:rPr>
          <w:color w:val="000000"/>
        </w:rPr>
        <w:t xml:space="preserve"> there is a high probability that farmers </w:t>
      </w:r>
      <w:r w:rsidR="00110DEA">
        <w:rPr>
          <w:color w:val="000000"/>
        </w:rPr>
        <w:t xml:space="preserve">will be practicing intercropping. Moreover, </w:t>
      </w:r>
      <w:r w:rsidR="00341268">
        <w:rPr>
          <w:color w:val="000000"/>
        </w:rPr>
        <w:t xml:space="preserve">because </w:t>
      </w:r>
      <w:r w:rsidR="00110DEA">
        <w:rPr>
          <w:color w:val="000000"/>
        </w:rPr>
        <w:t>farmer</w:t>
      </w:r>
      <w:r w:rsidR="00341268">
        <w:rPr>
          <w:color w:val="000000"/>
        </w:rPr>
        <w:t>s in</w:t>
      </w:r>
      <w:r w:rsidR="00110DEA">
        <w:rPr>
          <w:color w:val="000000"/>
        </w:rPr>
        <w:t xml:space="preserve"> contact with AR </w:t>
      </w:r>
      <w:r w:rsidR="00341268">
        <w:rPr>
          <w:color w:val="000000"/>
        </w:rPr>
        <w:t>are</w:t>
      </w:r>
      <w:r w:rsidR="00110DEA">
        <w:rPr>
          <w:color w:val="000000"/>
        </w:rPr>
        <w:t xml:space="preserve"> more likely practice rotations over time, it is therefore understandable that continuous practice of maize-legume intercropping might be somewhat lower among farmers lia</w:t>
      </w:r>
      <w:r w:rsidR="00341268">
        <w:rPr>
          <w:color w:val="000000"/>
        </w:rPr>
        <w:t>i</w:t>
      </w:r>
      <w:r w:rsidR="00110DEA">
        <w:rPr>
          <w:color w:val="000000"/>
        </w:rPr>
        <w:t xml:space="preserve">sing with AR. </w:t>
      </w:r>
    </w:p>
    <w:p w:rsidR="00110DEA" w:rsidRPr="00131698" w:rsidRDefault="00110DEA" w:rsidP="00110DEA">
      <w:pPr>
        <w:jc w:val="both"/>
        <w:rPr>
          <w:color w:val="000000"/>
        </w:rPr>
      </w:pPr>
    </w:p>
    <w:p w:rsidR="00617030" w:rsidRPr="00131698" w:rsidRDefault="00617030" w:rsidP="00BD03F4">
      <w:pPr>
        <w:pStyle w:val="Heading2"/>
        <w:ind w:left="-90" w:firstLine="720"/>
        <w:rPr>
          <w:rFonts w:ascii="Times New Roman" w:hAnsi="Times New Roman"/>
          <w:color w:val="000000"/>
          <w:sz w:val="24"/>
          <w:szCs w:val="24"/>
        </w:rPr>
      </w:pPr>
      <w:r w:rsidRPr="00131698">
        <w:rPr>
          <w:rFonts w:ascii="Times New Roman" w:hAnsi="Times New Roman"/>
          <w:i/>
          <w:color w:val="000000"/>
          <w:sz w:val="24"/>
          <w:szCs w:val="24"/>
          <w:u w:val="single"/>
        </w:rPr>
        <w:t>Technology 3: Pigeon pea</w:t>
      </w:r>
      <w:r w:rsidRPr="00131698">
        <w:rPr>
          <w:rFonts w:ascii="Times New Roman" w:hAnsi="Times New Roman"/>
          <w:color w:val="000000"/>
          <w:sz w:val="24"/>
          <w:szCs w:val="24"/>
        </w:rPr>
        <w:t>.</w:t>
      </w:r>
    </w:p>
    <w:p w:rsidR="00BD03F4" w:rsidRPr="00131698" w:rsidRDefault="00341268" w:rsidP="00341268">
      <w:pPr>
        <w:ind w:left="-90"/>
        <w:jc w:val="both"/>
        <w:rPr>
          <w:color w:val="000000"/>
        </w:rPr>
      </w:pPr>
      <w:r>
        <w:rPr>
          <w:color w:val="000000"/>
        </w:rPr>
        <w:t>Pigeon pea is</w:t>
      </w:r>
      <w:r w:rsidR="00617030" w:rsidRPr="00131698">
        <w:rPr>
          <w:color w:val="000000"/>
        </w:rPr>
        <w:t xml:space="preserve"> not a traditional crop in the study </w:t>
      </w:r>
      <w:r w:rsidR="00617030" w:rsidRPr="00131698">
        <w:rPr>
          <w:noProof/>
          <w:color w:val="000000"/>
        </w:rPr>
        <w:t>area</w:t>
      </w:r>
      <w:r w:rsidR="00310628">
        <w:rPr>
          <w:noProof/>
          <w:color w:val="000000"/>
        </w:rPr>
        <w:t xml:space="preserve">; indeed, it is rarely grown in </w:t>
      </w:r>
      <w:r w:rsidR="00310628">
        <w:rPr>
          <w:noProof/>
          <w:color w:val="000000"/>
        </w:rPr>
        <w:lastRenderedPageBreak/>
        <w:t>Central Malawi.</w:t>
      </w:r>
      <w:r w:rsidR="00617030" w:rsidRPr="00131698">
        <w:rPr>
          <w:color w:val="000000"/>
        </w:rPr>
        <w:t xml:space="preserve"> </w:t>
      </w:r>
      <w:r w:rsidR="00310628">
        <w:rPr>
          <w:color w:val="000000"/>
        </w:rPr>
        <w:t>T</w:t>
      </w:r>
      <w:r w:rsidR="00617030" w:rsidRPr="00131698">
        <w:rPr>
          <w:color w:val="000000"/>
        </w:rPr>
        <w:t xml:space="preserve">his provided </w:t>
      </w:r>
      <w:r w:rsidR="00310628">
        <w:rPr>
          <w:noProof/>
          <w:color w:val="000000"/>
        </w:rPr>
        <w:t>an excellent</w:t>
      </w:r>
      <w:r w:rsidR="00617030" w:rsidRPr="00131698">
        <w:rPr>
          <w:color w:val="000000"/>
        </w:rPr>
        <w:t xml:space="preserve"> opportunity to evaluate the effectiveness of </w:t>
      </w:r>
      <w:r w:rsidR="00310628">
        <w:rPr>
          <w:color w:val="000000"/>
        </w:rPr>
        <w:t xml:space="preserve">the </w:t>
      </w:r>
      <w:r w:rsidR="00617030" w:rsidRPr="00131698">
        <w:rPr>
          <w:color w:val="000000"/>
        </w:rPr>
        <w:t xml:space="preserve">extension methods that </w:t>
      </w:r>
      <w:r w:rsidR="00617030" w:rsidRPr="00131698">
        <w:rPr>
          <w:noProof/>
          <w:color w:val="000000"/>
        </w:rPr>
        <w:t>were used</w:t>
      </w:r>
      <w:r w:rsidR="00617030" w:rsidRPr="00131698">
        <w:rPr>
          <w:color w:val="000000"/>
        </w:rPr>
        <w:t xml:space="preserve">. </w:t>
      </w:r>
      <w:r w:rsidR="00617030" w:rsidRPr="00131698">
        <w:rPr>
          <w:bCs/>
          <w:color w:val="000000"/>
        </w:rPr>
        <w:t xml:space="preserve">The </w:t>
      </w:r>
      <w:r>
        <w:rPr>
          <w:bCs/>
          <w:color w:val="000000"/>
        </w:rPr>
        <w:t xml:space="preserve">study found that </w:t>
      </w:r>
      <w:r w:rsidR="00617030" w:rsidRPr="00131698">
        <w:rPr>
          <w:bCs/>
          <w:color w:val="000000"/>
        </w:rPr>
        <w:t xml:space="preserve">both AR and Government extension services </w:t>
      </w:r>
      <w:r>
        <w:rPr>
          <w:bCs/>
          <w:color w:val="000000"/>
        </w:rPr>
        <w:t xml:space="preserve">promoted farmers’ </w:t>
      </w:r>
      <w:r w:rsidR="00617030" w:rsidRPr="00131698">
        <w:rPr>
          <w:bCs/>
          <w:color w:val="000000"/>
        </w:rPr>
        <w:t xml:space="preserve">use of pigeon pea over time </w:t>
      </w:r>
      <w:r>
        <w:rPr>
          <w:bCs/>
          <w:color w:val="000000"/>
        </w:rPr>
        <w:t>compared</w:t>
      </w:r>
      <w:r w:rsidR="00617030" w:rsidRPr="00131698">
        <w:rPr>
          <w:bCs/>
          <w:color w:val="000000"/>
        </w:rPr>
        <w:t xml:space="preserve"> to farmers with no extension contact</w:t>
      </w:r>
      <w:r>
        <w:rPr>
          <w:bCs/>
          <w:color w:val="000000"/>
        </w:rPr>
        <w:t xml:space="preserve">. Farmers who were in contact with both </w:t>
      </w:r>
      <w:r w:rsidR="00617030" w:rsidRPr="00131698">
        <w:rPr>
          <w:bCs/>
          <w:color w:val="000000"/>
        </w:rPr>
        <w:t xml:space="preserve">AR and government extension </w:t>
      </w:r>
      <w:r>
        <w:rPr>
          <w:bCs/>
          <w:color w:val="000000"/>
        </w:rPr>
        <w:t>agents were especially likely to adopt</w:t>
      </w:r>
      <w:r w:rsidR="00617030" w:rsidRPr="00131698">
        <w:rPr>
          <w:bCs/>
          <w:color w:val="000000"/>
        </w:rPr>
        <w:t xml:space="preserve"> pigeon pea</w:t>
      </w:r>
      <w:r>
        <w:rPr>
          <w:bCs/>
          <w:color w:val="000000"/>
        </w:rPr>
        <w:t xml:space="preserve">.  Fields that were grown to maize in 2014 were also most likely to be planted to pigeon pea in later years among farmers with AR contact, indicating that </w:t>
      </w:r>
      <w:r w:rsidR="00617030" w:rsidRPr="00131698">
        <w:rPr>
          <w:bCs/>
          <w:color w:val="000000"/>
        </w:rPr>
        <w:t xml:space="preserve">pigeon pea has moved from experimental plots tried out on a few AR farmer farms, on to regular maize panel fields in just a couple of years. </w:t>
      </w:r>
    </w:p>
    <w:p w:rsidR="00617030" w:rsidRPr="00131698" w:rsidRDefault="00B44DBD" w:rsidP="00BD03F4">
      <w:pPr>
        <w:ind w:left="-90" w:firstLine="720"/>
        <w:jc w:val="both"/>
        <w:rPr>
          <w:color w:val="000000"/>
        </w:rPr>
      </w:pPr>
      <w:r>
        <w:rPr>
          <w:color w:val="000000"/>
        </w:rPr>
        <w:t>Under AR, farmers learned about pigeon pea t</w:t>
      </w:r>
      <w:r w:rsidR="00617030" w:rsidRPr="00131698">
        <w:rPr>
          <w:color w:val="000000"/>
        </w:rPr>
        <w:t>hrough learning by doing</w:t>
      </w:r>
      <w:r>
        <w:rPr>
          <w:color w:val="000000"/>
        </w:rPr>
        <w:t xml:space="preserve"> on farmers’ own plots and by </w:t>
      </w:r>
      <w:r w:rsidR="00617030" w:rsidRPr="00131698">
        <w:rPr>
          <w:color w:val="000000"/>
        </w:rPr>
        <w:t xml:space="preserve">growing </w:t>
      </w:r>
      <w:r w:rsidR="00617030" w:rsidRPr="00131698">
        <w:rPr>
          <w:noProof/>
          <w:color w:val="000000"/>
        </w:rPr>
        <w:t>pigeon pea</w:t>
      </w:r>
      <w:r w:rsidR="00617030" w:rsidRPr="00131698">
        <w:rPr>
          <w:color w:val="000000"/>
        </w:rPr>
        <w:t xml:space="preserve"> </w:t>
      </w:r>
      <w:r>
        <w:rPr>
          <w:color w:val="000000"/>
        </w:rPr>
        <w:t>on group demonstration plots. S</w:t>
      </w:r>
      <w:r w:rsidR="00617030" w:rsidRPr="00131698">
        <w:rPr>
          <w:noProof/>
          <w:color w:val="000000"/>
        </w:rPr>
        <w:t>eed</w:t>
      </w:r>
      <w:r w:rsidR="00617030" w:rsidRPr="00131698">
        <w:rPr>
          <w:color w:val="000000"/>
        </w:rPr>
        <w:t xml:space="preserve"> was provided for improved </w:t>
      </w:r>
      <w:r w:rsidR="00617030" w:rsidRPr="00131698">
        <w:rPr>
          <w:noProof/>
          <w:color w:val="000000"/>
        </w:rPr>
        <w:t>pigeon pea</w:t>
      </w:r>
      <w:r w:rsidR="00617030" w:rsidRPr="00131698">
        <w:rPr>
          <w:color w:val="000000"/>
        </w:rPr>
        <w:t xml:space="preserve"> </w:t>
      </w:r>
      <w:r w:rsidR="00617030" w:rsidRPr="00131698">
        <w:rPr>
          <w:noProof/>
          <w:color w:val="000000"/>
        </w:rPr>
        <w:t>varieties</w:t>
      </w:r>
      <w:r w:rsidR="00617030" w:rsidRPr="00131698">
        <w:rPr>
          <w:color w:val="000000"/>
        </w:rPr>
        <w:t xml:space="preserve"> so that farmers could try out this technology in </w:t>
      </w:r>
      <w:r>
        <w:rPr>
          <w:color w:val="000000"/>
        </w:rPr>
        <w:t>‘</w:t>
      </w:r>
      <w:r w:rsidR="00617030" w:rsidRPr="00131698">
        <w:rPr>
          <w:color w:val="000000"/>
        </w:rPr>
        <w:t>baby trials</w:t>
      </w:r>
      <w:r>
        <w:rPr>
          <w:color w:val="000000"/>
        </w:rPr>
        <w:t>’ on their own plots</w:t>
      </w:r>
      <w:r w:rsidR="00617030" w:rsidRPr="00131698">
        <w:rPr>
          <w:color w:val="000000"/>
        </w:rPr>
        <w:t xml:space="preserve">. The number of households adopting </w:t>
      </w:r>
      <w:r w:rsidR="00617030" w:rsidRPr="00131698">
        <w:rPr>
          <w:noProof/>
          <w:color w:val="000000"/>
        </w:rPr>
        <w:t>pigeon pea</w:t>
      </w:r>
      <w:r w:rsidR="00617030" w:rsidRPr="00131698">
        <w:rPr>
          <w:color w:val="000000"/>
        </w:rPr>
        <w:t xml:space="preserve"> has </w:t>
      </w:r>
      <w:r w:rsidR="00617030" w:rsidRPr="00131698">
        <w:rPr>
          <w:noProof/>
          <w:color w:val="000000"/>
        </w:rPr>
        <w:t>steadily</w:t>
      </w:r>
      <w:r w:rsidR="00617030" w:rsidRPr="00131698">
        <w:rPr>
          <w:color w:val="000000"/>
        </w:rPr>
        <w:t xml:space="preserve"> increased from 2014 to 2016. </w:t>
      </w:r>
      <w:r>
        <w:rPr>
          <w:color w:val="000000"/>
        </w:rPr>
        <w:t xml:space="preserve"> </w:t>
      </w:r>
      <w:r w:rsidR="00617030" w:rsidRPr="00131698">
        <w:rPr>
          <w:color w:val="000000"/>
        </w:rPr>
        <w:t xml:space="preserve">The probability of intercropping </w:t>
      </w:r>
      <w:r w:rsidR="00617030" w:rsidRPr="00131698">
        <w:rPr>
          <w:noProof/>
          <w:color w:val="000000"/>
        </w:rPr>
        <w:t>maize</w:t>
      </w:r>
      <w:r w:rsidR="00617030" w:rsidRPr="00131698">
        <w:rPr>
          <w:color w:val="000000"/>
        </w:rPr>
        <w:t xml:space="preserve"> and pigeon peas increases with </w:t>
      </w:r>
      <w:r>
        <w:rPr>
          <w:color w:val="000000"/>
        </w:rPr>
        <w:t>larger</w:t>
      </w:r>
      <w:r w:rsidR="00617030" w:rsidRPr="00131698">
        <w:rPr>
          <w:color w:val="000000"/>
        </w:rPr>
        <w:t xml:space="preserve"> plots, particularly for households with relatively smaller </w:t>
      </w:r>
      <w:r>
        <w:rPr>
          <w:color w:val="000000"/>
        </w:rPr>
        <w:t xml:space="preserve">total </w:t>
      </w:r>
      <w:r w:rsidR="00617030" w:rsidRPr="00131698">
        <w:rPr>
          <w:color w:val="000000"/>
        </w:rPr>
        <w:t>land holding</w:t>
      </w:r>
      <w:r>
        <w:rPr>
          <w:color w:val="000000"/>
        </w:rPr>
        <w:t>s</w:t>
      </w:r>
      <w:r w:rsidR="00617030" w:rsidRPr="00131698">
        <w:rPr>
          <w:color w:val="000000"/>
        </w:rPr>
        <w:t xml:space="preserve"> and </w:t>
      </w:r>
      <w:r>
        <w:rPr>
          <w:color w:val="000000"/>
        </w:rPr>
        <w:t xml:space="preserve">among </w:t>
      </w:r>
      <w:r w:rsidR="00617030" w:rsidRPr="00131698">
        <w:rPr>
          <w:color w:val="000000"/>
        </w:rPr>
        <w:t xml:space="preserve">households that </w:t>
      </w:r>
      <w:r>
        <w:rPr>
          <w:color w:val="000000"/>
        </w:rPr>
        <w:t>not highly averse to risks (and therefore more willing to experiment with new practices).  B</w:t>
      </w:r>
      <w:r w:rsidR="00617030" w:rsidRPr="00131698">
        <w:rPr>
          <w:color w:val="000000"/>
        </w:rPr>
        <w:t xml:space="preserve">oth </w:t>
      </w:r>
      <w:r>
        <w:rPr>
          <w:color w:val="000000"/>
        </w:rPr>
        <w:t>AR</w:t>
      </w:r>
      <w:r w:rsidR="00617030" w:rsidRPr="00131698">
        <w:rPr>
          <w:color w:val="000000"/>
        </w:rPr>
        <w:t xml:space="preserve"> and Government extension staff contact </w:t>
      </w:r>
      <w:r>
        <w:rPr>
          <w:color w:val="000000"/>
        </w:rPr>
        <w:t xml:space="preserve">promote the probability of farmer adoption of </w:t>
      </w:r>
      <w:r w:rsidR="00617030" w:rsidRPr="00131698">
        <w:rPr>
          <w:noProof/>
          <w:color w:val="000000"/>
        </w:rPr>
        <w:t>pigeon pea</w:t>
      </w:r>
      <w:r w:rsidR="009C768C">
        <w:rPr>
          <w:noProof/>
          <w:color w:val="000000"/>
        </w:rPr>
        <w:t xml:space="preserve">, and the greatest probability of adoption was on plots managed by farmers in contact with both AR and </w:t>
      </w:r>
      <w:r w:rsidR="00617030" w:rsidRPr="00131698">
        <w:rPr>
          <w:color w:val="000000"/>
        </w:rPr>
        <w:t xml:space="preserve">government extension </w:t>
      </w:r>
      <w:r w:rsidR="009C768C">
        <w:rPr>
          <w:color w:val="000000"/>
        </w:rPr>
        <w:t xml:space="preserve">agents. Notably, farmers who were less averse to risks than other farmers were more likely to experiment with </w:t>
      </w:r>
      <w:r w:rsidR="00617030" w:rsidRPr="00131698">
        <w:rPr>
          <w:color w:val="000000"/>
        </w:rPr>
        <w:t xml:space="preserve">and </w:t>
      </w:r>
      <w:r w:rsidR="00617030" w:rsidRPr="00131698">
        <w:rPr>
          <w:noProof/>
          <w:color w:val="000000"/>
        </w:rPr>
        <w:t>reap</w:t>
      </w:r>
      <w:r w:rsidR="00617030" w:rsidRPr="00131698">
        <w:rPr>
          <w:color w:val="000000"/>
        </w:rPr>
        <w:t xml:space="preserve"> the benefits of growing pigeon peas in mixed maize systems. </w:t>
      </w:r>
      <w:r w:rsidR="00617030" w:rsidRPr="00131698">
        <w:rPr>
          <w:noProof/>
          <w:color w:val="000000"/>
        </w:rPr>
        <w:t>These results</w:t>
      </w:r>
      <w:r w:rsidR="00617030" w:rsidRPr="00131698">
        <w:rPr>
          <w:color w:val="000000"/>
        </w:rPr>
        <w:t xml:space="preserve"> indicate the significance and positive effect of the extension method that allowed farmers to choose which technologies to try out (demand-driven) and to practice the </w:t>
      </w:r>
      <w:r w:rsidR="00617030" w:rsidRPr="00131698">
        <w:rPr>
          <w:noProof/>
          <w:color w:val="000000"/>
        </w:rPr>
        <w:t>technology</w:t>
      </w:r>
      <w:r w:rsidR="00617030" w:rsidRPr="00131698">
        <w:rPr>
          <w:color w:val="000000"/>
        </w:rPr>
        <w:t xml:space="preserve"> on their plots (participatory action research through </w:t>
      </w:r>
      <w:r w:rsidR="00617030" w:rsidRPr="00131698">
        <w:rPr>
          <w:noProof/>
          <w:color w:val="000000"/>
        </w:rPr>
        <w:t>mother</w:t>
      </w:r>
      <w:r w:rsidR="00617030" w:rsidRPr="00131698">
        <w:rPr>
          <w:color w:val="000000"/>
        </w:rPr>
        <w:t xml:space="preserve"> and baby trial design, Snapp et al., 2002). </w:t>
      </w:r>
    </w:p>
    <w:p w:rsidR="00617030" w:rsidRPr="00131698" w:rsidRDefault="00617030" w:rsidP="00BD03F4">
      <w:pPr>
        <w:pStyle w:val="Heading2"/>
        <w:ind w:left="-90" w:firstLine="720"/>
        <w:rPr>
          <w:rFonts w:ascii="Times New Roman" w:hAnsi="Times New Roman"/>
          <w:i/>
          <w:color w:val="000000"/>
          <w:sz w:val="24"/>
          <w:szCs w:val="24"/>
          <w:u w:val="single"/>
        </w:rPr>
      </w:pPr>
      <w:r w:rsidRPr="00131698">
        <w:rPr>
          <w:rFonts w:ascii="Times New Roman" w:hAnsi="Times New Roman"/>
          <w:i/>
          <w:color w:val="000000"/>
          <w:sz w:val="24"/>
          <w:szCs w:val="24"/>
          <w:u w:val="single"/>
        </w:rPr>
        <w:t>Technology 4: Inorganic fertilizer</w:t>
      </w:r>
    </w:p>
    <w:p w:rsidR="00617030" w:rsidRPr="00131698" w:rsidRDefault="00617030" w:rsidP="009C768C">
      <w:pPr>
        <w:ind w:left="-90"/>
        <w:jc w:val="both"/>
        <w:rPr>
          <w:color w:val="000000"/>
        </w:rPr>
      </w:pPr>
      <w:r w:rsidRPr="00131698">
        <w:rPr>
          <w:color w:val="000000"/>
        </w:rPr>
        <w:t>The probability of incorporating inorganic fertilizer was high</w:t>
      </w:r>
      <w:r w:rsidR="009C768C">
        <w:rPr>
          <w:color w:val="000000"/>
        </w:rPr>
        <w:t>est</w:t>
      </w:r>
      <w:r w:rsidRPr="00131698">
        <w:rPr>
          <w:color w:val="000000"/>
        </w:rPr>
        <w:t xml:space="preserve"> on smaller plots, </w:t>
      </w:r>
      <w:r w:rsidR="009C768C">
        <w:rPr>
          <w:color w:val="000000"/>
        </w:rPr>
        <w:t xml:space="preserve">among </w:t>
      </w:r>
      <w:r w:rsidR="009C768C">
        <w:rPr>
          <w:noProof/>
          <w:color w:val="000000"/>
        </w:rPr>
        <w:t>male-</w:t>
      </w:r>
      <w:r w:rsidRPr="00131698">
        <w:rPr>
          <w:noProof/>
          <w:color w:val="000000"/>
        </w:rPr>
        <w:t>headed</w:t>
      </w:r>
      <w:r w:rsidRPr="00131698">
        <w:rPr>
          <w:color w:val="000000"/>
        </w:rPr>
        <w:t xml:space="preserve"> hous</w:t>
      </w:r>
      <w:r w:rsidR="009C768C">
        <w:rPr>
          <w:color w:val="000000"/>
        </w:rPr>
        <w:t xml:space="preserve">eholds and households with larger </w:t>
      </w:r>
      <w:r w:rsidRPr="00131698">
        <w:rPr>
          <w:color w:val="000000"/>
        </w:rPr>
        <w:t>landholding</w:t>
      </w:r>
      <w:r w:rsidR="00CB5227">
        <w:rPr>
          <w:color w:val="000000"/>
        </w:rPr>
        <w:t>s</w:t>
      </w:r>
      <w:r w:rsidR="009C768C">
        <w:rPr>
          <w:color w:val="000000"/>
        </w:rPr>
        <w:t xml:space="preserve">. </w:t>
      </w:r>
      <w:r w:rsidRPr="00131698">
        <w:rPr>
          <w:color w:val="000000"/>
        </w:rPr>
        <w:t>Interestingly</w:t>
      </w:r>
      <w:r w:rsidR="00CB5227">
        <w:rPr>
          <w:color w:val="000000"/>
        </w:rPr>
        <w:t>, inorganic</w:t>
      </w:r>
      <w:r w:rsidRPr="00131698">
        <w:rPr>
          <w:color w:val="000000"/>
        </w:rPr>
        <w:t xml:space="preserve"> </w:t>
      </w:r>
      <w:r w:rsidR="00CB5227">
        <w:rPr>
          <w:color w:val="000000"/>
        </w:rPr>
        <w:lastRenderedPageBreak/>
        <w:t>f</w:t>
      </w:r>
      <w:r w:rsidRPr="00131698">
        <w:rPr>
          <w:color w:val="000000"/>
        </w:rPr>
        <w:t>ertilizer</w:t>
      </w:r>
      <w:r w:rsidR="00CB5227">
        <w:rPr>
          <w:color w:val="000000"/>
        </w:rPr>
        <w:t>s were more likely to be</w:t>
      </w:r>
      <w:r w:rsidRPr="00131698">
        <w:rPr>
          <w:color w:val="000000"/>
        </w:rPr>
        <w:t xml:space="preserve"> applied on plots </w:t>
      </w:r>
      <w:r w:rsidR="00CB5227">
        <w:rPr>
          <w:color w:val="000000"/>
        </w:rPr>
        <w:t xml:space="preserve">specified by farmers as fertile </w:t>
      </w:r>
      <w:r w:rsidRPr="00131698">
        <w:rPr>
          <w:color w:val="000000"/>
        </w:rPr>
        <w:t>compared to infertile</w:t>
      </w:r>
      <w:r w:rsidR="00CB5227">
        <w:rPr>
          <w:color w:val="000000"/>
        </w:rPr>
        <w:t xml:space="preserve">. </w:t>
      </w:r>
      <w:r w:rsidRPr="00131698">
        <w:rPr>
          <w:color w:val="000000"/>
        </w:rPr>
        <w:t xml:space="preserve">The </w:t>
      </w:r>
      <w:r w:rsidR="00BD03F4" w:rsidRPr="00131698">
        <w:rPr>
          <w:color w:val="000000"/>
        </w:rPr>
        <w:t xml:space="preserve">results </w:t>
      </w:r>
      <w:r w:rsidRPr="00131698">
        <w:rPr>
          <w:color w:val="000000"/>
        </w:rPr>
        <w:t xml:space="preserve">indicated that 141kg/ha more fertilizer was applied </w:t>
      </w:r>
      <w:r w:rsidR="00CB5227">
        <w:rPr>
          <w:noProof/>
          <w:color w:val="000000"/>
        </w:rPr>
        <w:t>o</w:t>
      </w:r>
      <w:r w:rsidRPr="00131698">
        <w:rPr>
          <w:noProof/>
          <w:color w:val="000000"/>
        </w:rPr>
        <w:t>n fertile</w:t>
      </w:r>
      <w:r w:rsidRPr="00131698">
        <w:rPr>
          <w:color w:val="000000"/>
        </w:rPr>
        <w:t xml:space="preserve"> </w:t>
      </w:r>
      <w:r w:rsidR="00CB5227">
        <w:rPr>
          <w:color w:val="000000"/>
        </w:rPr>
        <w:t xml:space="preserve">maize </w:t>
      </w:r>
      <w:r w:rsidRPr="00131698">
        <w:rPr>
          <w:color w:val="000000"/>
        </w:rPr>
        <w:t xml:space="preserve">plots than less fertile </w:t>
      </w:r>
      <w:r w:rsidR="00CB5227">
        <w:rPr>
          <w:color w:val="000000"/>
        </w:rPr>
        <w:t xml:space="preserve">maize </w:t>
      </w:r>
      <w:r w:rsidR="0016612B">
        <w:rPr>
          <w:color w:val="000000"/>
        </w:rPr>
        <w:t xml:space="preserve">plots. </w:t>
      </w:r>
      <w:r w:rsidRPr="00131698">
        <w:rPr>
          <w:color w:val="000000"/>
        </w:rPr>
        <w:t xml:space="preserve">Given the cost of purchasing fertilizer, it may not be financially </w:t>
      </w:r>
      <w:r w:rsidR="0016612B">
        <w:rPr>
          <w:color w:val="000000"/>
        </w:rPr>
        <w:t xml:space="preserve">possible </w:t>
      </w:r>
      <w:r w:rsidRPr="00131698">
        <w:rPr>
          <w:color w:val="000000"/>
        </w:rPr>
        <w:t>for households to apply fertilizer on all crops</w:t>
      </w:r>
      <w:r w:rsidR="0016612B">
        <w:rPr>
          <w:color w:val="000000"/>
        </w:rPr>
        <w:t>,</w:t>
      </w:r>
      <w:r w:rsidRPr="00131698">
        <w:rPr>
          <w:color w:val="000000"/>
        </w:rPr>
        <w:t xml:space="preserve"> hence </w:t>
      </w:r>
      <w:r w:rsidR="0016612B">
        <w:rPr>
          <w:color w:val="000000"/>
        </w:rPr>
        <w:t xml:space="preserve">the observed pattern of </w:t>
      </w:r>
      <w:r w:rsidRPr="00131698">
        <w:rPr>
          <w:color w:val="000000"/>
        </w:rPr>
        <w:t xml:space="preserve">concentrating </w:t>
      </w:r>
      <w:r w:rsidR="0016612B">
        <w:rPr>
          <w:color w:val="000000"/>
        </w:rPr>
        <w:t xml:space="preserve">fertilizer use </w:t>
      </w:r>
      <w:r w:rsidRPr="00131698">
        <w:rPr>
          <w:color w:val="000000"/>
        </w:rPr>
        <w:t xml:space="preserve">on smaller </w:t>
      </w:r>
      <w:r w:rsidR="0016612B">
        <w:rPr>
          <w:color w:val="000000"/>
        </w:rPr>
        <w:t>plots</w:t>
      </w:r>
      <w:r w:rsidRPr="00131698">
        <w:rPr>
          <w:color w:val="000000"/>
        </w:rPr>
        <w:t xml:space="preserve"> with high productivity. </w:t>
      </w:r>
      <w:r w:rsidR="0016612B">
        <w:rPr>
          <w:color w:val="000000"/>
        </w:rPr>
        <w:t xml:space="preserve">No </w:t>
      </w:r>
      <w:r w:rsidRPr="00131698">
        <w:rPr>
          <w:color w:val="000000"/>
        </w:rPr>
        <w:t xml:space="preserve">significant relationship </w:t>
      </w:r>
      <w:r w:rsidR="0016612B">
        <w:rPr>
          <w:color w:val="000000"/>
        </w:rPr>
        <w:t xml:space="preserve">is observed </w:t>
      </w:r>
      <w:r w:rsidRPr="00131698">
        <w:rPr>
          <w:color w:val="000000"/>
        </w:rPr>
        <w:t xml:space="preserve">between extension </w:t>
      </w:r>
      <w:r w:rsidR="0016612B">
        <w:rPr>
          <w:color w:val="000000"/>
        </w:rPr>
        <w:t xml:space="preserve">contact and farmers’ </w:t>
      </w:r>
      <w:r w:rsidRPr="00131698">
        <w:rPr>
          <w:color w:val="000000"/>
        </w:rPr>
        <w:t>applic</w:t>
      </w:r>
      <w:r w:rsidR="00BD03F4" w:rsidRPr="00131698">
        <w:rPr>
          <w:color w:val="000000"/>
        </w:rPr>
        <w:t xml:space="preserve">ation of inorganic fertilizers. </w:t>
      </w:r>
      <w:r w:rsidR="004E25D9">
        <w:rPr>
          <w:color w:val="000000"/>
        </w:rPr>
        <w:t xml:space="preserve">These findings indicate that constraints on the use of fertilizer by </w:t>
      </w:r>
      <w:r w:rsidR="0016612B">
        <w:rPr>
          <w:color w:val="000000"/>
        </w:rPr>
        <w:t xml:space="preserve">Malawian farmers </w:t>
      </w:r>
      <w:r w:rsidR="004E25D9">
        <w:rPr>
          <w:color w:val="000000"/>
        </w:rPr>
        <w:t xml:space="preserve">are not primarily related to knowledge about the benefits of fertilizer, which seems highly reasonable in Malawi and other regions where the use of fertilizer has been widespread for decades </w:t>
      </w:r>
      <w:r w:rsidRPr="00131698">
        <w:rPr>
          <w:color w:val="000000"/>
        </w:rPr>
        <w:t>(Denning et al., 2009)</w:t>
      </w:r>
      <w:r w:rsidR="004E25D9">
        <w:rPr>
          <w:color w:val="000000"/>
        </w:rPr>
        <w:t xml:space="preserve">.  Access to finance and ability to take risks </w:t>
      </w:r>
      <w:r w:rsidRPr="00131698">
        <w:rPr>
          <w:color w:val="000000"/>
        </w:rPr>
        <w:t xml:space="preserve">appears to be the </w:t>
      </w:r>
      <w:r w:rsidRPr="00131698">
        <w:rPr>
          <w:noProof/>
          <w:color w:val="000000"/>
        </w:rPr>
        <w:t>main</w:t>
      </w:r>
      <w:r w:rsidRPr="00131698">
        <w:rPr>
          <w:color w:val="000000"/>
        </w:rPr>
        <w:t xml:space="preserve"> constraining factor</w:t>
      </w:r>
      <w:r w:rsidR="004E25D9">
        <w:rPr>
          <w:color w:val="000000"/>
        </w:rPr>
        <w:t>s</w:t>
      </w:r>
      <w:r w:rsidRPr="00131698">
        <w:rPr>
          <w:color w:val="000000"/>
        </w:rPr>
        <w:t xml:space="preserve">. </w:t>
      </w:r>
    </w:p>
    <w:p w:rsidR="00617030" w:rsidRPr="00131698" w:rsidRDefault="00617030" w:rsidP="00BD03F4">
      <w:pPr>
        <w:pStyle w:val="Heading2"/>
        <w:ind w:left="-90" w:firstLine="720"/>
        <w:rPr>
          <w:rFonts w:ascii="Times New Roman" w:hAnsi="Times New Roman"/>
          <w:i/>
          <w:color w:val="000000"/>
          <w:sz w:val="24"/>
          <w:szCs w:val="24"/>
          <w:u w:val="single"/>
        </w:rPr>
      </w:pPr>
      <w:r w:rsidRPr="00131698">
        <w:rPr>
          <w:rFonts w:ascii="Times New Roman" w:hAnsi="Times New Roman"/>
          <w:i/>
          <w:color w:val="000000"/>
          <w:sz w:val="24"/>
          <w:szCs w:val="24"/>
          <w:u w:val="single"/>
        </w:rPr>
        <w:t xml:space="preserve">Technology 5: Organic manure </w:t>
      </w:r>
    </w:p>
    <w:p w:rsidR="004E25D9" w:rsidRDefault="00617030" w:rsidP="004E25D9">
      <w:pPr>
        <w:ind w:left="-90"/>
        <w:jc w:val="both"/>
        <w:rPr>
          <w:color w:val="000000"/>
        </w:rPr>
      </w:pPr>
      <w:r w:rsidRPr="00131698">
        <w:rPr>
          <w:color w:val="000000"/>
        </w:rPr>
        <w:t>Male household</w:t>
      </w:r>
      <w:r w:rsidR="004E25D9">
        <w:rPr>
          <w:color w:val="000000"/>
        </w:rPr>
        <w:t xml:space="preserve"> </w:t>
      </w:r>
      <w:r w:rsidRPr="00131698">
        <w:rPr>
          <w:color w:val="000000"/>
        </w:rPr>
        <w:t xml:space="preserve">heads were </w:t>
      </w:r>
      <w:r w:rsidR="004E25D9">
        <w:rPr>
          <w:color w:val="000000"/>
        </w:rPr>
        <w:t xml:space="preserve">more </w:t>
      </w:r>
      <w:r w:rsidRPr="00131698">
        <w:rPr>
          <w:color w:val="000000"/>
        </w:rPr>
        <w:t xml:space="preserve">likely to apply manure on their plots than </w:t>
      </w:r>
      <w:r w:rsidR="004E25D9">
        <w:rPr>
          <w:color w:val="000000"/>
        </w:rPr>
        <w:t xml:space="preserve">on </w:t>
      </w:r>
      <w:r w:rsidRPr="00131698">
        <w:rPr>
          <w:color w:val="000000"/>
        </w:rPr>
        <w:t>women</w:t>
      </w:r>
      <w:r w:rsidR="004E25D9">
        <w:rPr>
          <w:color w:val="000000"/>
        </w:rPr>
        <w:t xml:space="preserve">’s plots.  Organic manure contributes to weed growth as well as plant growth, and male heads are perceived to be better able to mobilize weeding labor than women. </w:t>
      </w:r>
      <w:r w:rsidRPr="00131698">
        <w:rPr>
          <w:color w:val="000000"/>
        </w:rPr>
        <w:t xml:space="preserve">This gendered-challenge of labor access has </w:t>
      </w:r>
      <w:r w:rsidRPr="00131698">
        <w:rPr>
          <w:noProof/>
          <w:color w:val="000000"/>
        </w:rPr>
        <w:t>frequently been noted</w:t>
      </w:r>
      <w:r w:rsidRPr="00131698">
        <w:rPr>
          <w:color w:val="000000"/>
        </w:rPr>
        <w:t xml:space="preserve"> in the </w:t>
      </w:r>
      <w:r w:rsidRPr="00131698">
        <w:rPr>
          <w:noProof/>
          <w:color w:val="000000"/>
        </w:rPr>
        <w:t>literature</w:t>
      </w:r>
      <w:r w:rsidRPr="00131698">
        <w:rPr>
          <w:color w:val="000000"/>
        </w:rPr>
        <w:t xml:space="preserve"> and needs to be given full consideration in the development of extension recommendations (Doss, 2001). More fertile plots receive 126kg/ha more organic manure that less fertile plots. </w:t>
      </w:r>
      <w:r w:rsidRPr="00131698">
        <w:rPr>
          <w:noProof/>
          <w:color w:val="000000"/>
        </w:rPr>
        <w:t>This</w:t>
      </w:r>
      <w:r w:rsidRPr="00131698">
        <w:rPr>
          <w:color w:val="000000"/>
        </w:rPr>
        <w:t xml:space="preserve"> could however also be related to field location </w:t>
      </w:r>
      <w:r w:rsidRPr="00131698">
        <w:rPr>
          <w:noProof/>
          <w:color w:val="000000"/>
        </w:rPr>
        <w:t>about</w:t>
      </w:r>
      <w:r w:rsidRPr="00131698">
        <w:rPr>
          <w:color w:val="000000"/>
        </w:rPr>
        <w:t xml:space="preserve"> livestock (which </w:t>
      </w:r>
      <w:r w:rsidRPr="00131698">
        <w:rPr>
          <w:noProof/>
          <w:color w:val="000000"/>
        </w:rPr>
        <w:t>was not tested</w:t>
      </w:r>
      <w:r w:rsidRPr="00131698">
        <w:rPr>
          <w:color w:val="000000"/>
        </w:rPr>
        <w:t xml:space="preserve"> here) – as higher fertility fields may have benefited historically from being near livestock holding pens that reduce the labor required for transportation and thus facilitate the </w:t>
      </w:r>
      <w:r w:rsidRPr="00131698">
        <w:rPr>
          <w:noProof/>
          <w:color w:val="000000"/>
        </w:rPr>
        <w:t>use</w:t>
      </w:r>
      <w:r w:rsidRPr="00131698">
        <w:rPr>
          <w:color w:val="000000"/>
        </w:rPr>
        <w:t xml:space="preserve"> of manure (Rusinamhodzi et al., 2016). </w:t>
      </w:r>
    </w:p>
    <w:p w:rsidR="004E25D9" w:rsidRDefault="004E25D9" w:rsidP="004E25D9">
      <w:pPr>
        <w:ind w:left="-90"/>
        <w:jc w:val="both"/>
        <w:rPr>
          <w:color w:val="000000"/>
        </w:rPr>
      </w:pPr>
    </w:p>
    <w:p w:rsidR="00617030" w:rsidRPr="00131698" w:rsidRDefault="00617030" w:rsidP="00BD03F4">
      <w:pPr>
        <w:ind w:left="-90"/>
        <w:jc w:val="both"/>
        <w:rPr>
          <w:color w:val="000000"/>
        </w:rPr>
      </w:pPr>
      <w:r w:rsidRPr="00131698">
        <w:rPr>
          <w:noProof/>
          <w:color w:val="000000"/>
        </w:rPr>
        <w:t>In terms of</w:t>
      </w:r>
      <w:r w:rsidRPr="00131698">
        <w:rPr>
          <w:color w:val="000000"/>
        </w:rPr>
        <w:t xml:space="preserve"> extension services effectiveness, </w:t>
      </w:r>
      <w:r w:rsidRPr="00131698">
        <w:rPr>
          <w:noProof/>
          <w:color w:val="000000"/>
        </w:rPr>
        <w:t>households</w:t>
      </w:r>
      <w:r w:rsidRPr="00131698">
        <w:rPr>
          <w:color w:val="000000"/>
        </w:rPr>
        <w:t xml:space="preserve"> that applied organic manure had very significant interactions with extension messages from </w:t>
      </w:r>
      <w:r w:rsidR="00B02709">
        <w:rPr>
          <w:color w:val="000000"/>
        </w:rPr>
        <w:t>Africa RISING alone, or the combination of</w:t>
      </w:r>
      <w:r w:rsidR="00B02709" w:rsidRPr="00131698">
        <w:rPr>
          <w:color w:val="000000"/>
        </w:rPr>
        <w:t xml:space="preserve"> </w:t>
      </w:r>
      <w:r w:rsidRPr="00131698">
        <w:rPr>
          <w:color w:val="000000"/>
        </w:rPr>
        <w:t xml:space="preserve">Africa RISING and Government extension. </w:t>
      </w:r>
      <w:r w:rsidR="004E25D9">
        <w:rPr>
          <w:color w:val="000000"/>
        </w:rPr>
        <w:t xml:space="preserve"> </w:t>
      </w:r>
      <w:r w:rsidRPr="00131698">
        <w:rPr>
          <w:color w:val="000000"/>
        </w:rPr>
        <w:t xml:space="preserve">Farmers engaged with </w:t>
      </w:r>
      <w:r w:rsidR="00B02709">
        <w:rPr>
          <w:color w:val="000000"/>
        </w:rPr>
        <w:t xml:space="preserve">both extension approaches </w:t>
      </w:r>
      <w:r w:rsidRPr="00131698">
        <w:rPr>
          <w:color w:val="000000"/>
        </w:rPr>
        <w:t xml:space="preserve">used about 70% </w:t>
      </w:r>
      <w:r w:rsidR="004E25D9">
        <w:rPr>
          <w:color w:val="000000"/>
        </w:rPr>
        <w:t xml:space="preserve">more </w:t>
      </w:r>
      <w:r w:rsidRPr="00131698">
        <w:rPr>
          <w:color w:val="000000"/>
        </w:rPr>
        <w:t xml:space="preserve">manure </w:t>
      </w:r>
      <w:r w:rsidR="004E25D9">
        <w:rPr>
          <w:color w:val="000000"/>
        </w:rPr>
        <w:t>per hectare in the most recent survey year (2016) c</w:t>
      </w:r>
      <w:r w:rsidRPr="00131698">
        <w:rPr>
          <w:color w:val="000000"/>
        </w:rPr>
        <w:t xml:space="preserve">ompared to </w:t>
      </w:r>
      <w:r w:rsidRPr="00131698">
        <w:rPr>
          <w:color w:val="000000"/>
        </w:rPr>
        <w:lastRenderedPageBreak/>
        <w:t>other</w:t>
      </w:r>
      <w:r w:rsidR="004E25D9">
        <w:rPr>
          <w:color w:val="000000"/>
        </w:rPr>
        <w:t>s farmers</w:t>
      </w:r>
      <w:r w:rsidRPr="00131698">
        <w:rPr>
          <w:color w:val="000000"/>
        </w:rPr>
        <w:t xml:space="preserve">. </w:t>
      </w:r>
      <w:r w:rsidR="004E25D9">
        <w:rPr>
          <w:color w:val="000000"/>
        </w:rPr>
        <w:t>M</w:t>
      </w:r>
      <w:r w:rsidRPr="00131698">
        <w:rPr>
          <w:color w:val="000000"/>
        </w:rPr>
        <w:t xml:space="preserve">anure and compost </w:t>
      </w:r>
      <w:r w:rsidR="004E25D9">
        <w:rPr>
          <w:color w:val="000000"/>
        </w:rPr>
        <w:t>are knowledge-intensive technologies</w:t>
      </w:r>
      <w:r w:rsidRPr="00131698">
        <w:rPr>
          <w:color w:val="000000"/>
        </w:rPr>
        <w:t xml:space="preserve"> </w:t>
      </w:r>
      <w:r w:rsidR="004E25D9">
        <w:rPr>
          <w:color w:val="000000"/>
        </w:rPr>
        <w:t>requiring skill</w:t>
      </w:r>
      <w:r w:rsidRPr="00131698">
        <w:rPr>
          <w:color w:val="000000"/>
        </w:rPr>
        <w:t xml:space="preserve"> on h</w:t>
      </w:r>
      <w:r w:rsidR="004E25D9">
        <w:rPr>
          <w:color w:val="000000"/>
        </w:rPr>
        <w:t>ow best to produce and apply it</w:t>
      </w:r>
      <w:r w:rsidRPr="00131698">
        <w:rPr>
          <w:color w:val="000000"/>
        </w:rPr>
        <w:t xml:space="preserve"> as well as guidance on the </w:t>
      </w:r>
      <w:r w:rsidRPr="00131698">
        <w:rPr>
          <w:noProof/>
          <w:color w:val="000000"/>
        </w:rPr>
        <w:t>appreciation</w:t>
      </w:r>
      <w:r w:rsidRPr="00131698">
        <w:rPr>
          <w:color w:val="000000"/>
        </w:rPr>
        <w:t xml:space="preserve"> of manure as a nutrient source that </w:t>
      </w:r>
      <w:r w:rsidRPr="00131698">
        <w:rPr>
          <w:noProof/>
          <w:color w:val="000000"/>
        </w:rPr>
        <w:t>supports</w:t>
      </w:r>
      <w:r w:rsidR="004E25D9">
        <w:rPr>
          <w:color w:val="000000"/>
        </w:rPr>
        <w:t xml:space="preserve"> the accumulation of </w:t>
      </w:r>
      <w:r w:rsidRPr="00131698">
        <w:rPr>
          <w:color w:val="000000"/>
        </w:rPr>
        <w:t xml:space="preserve">soil organic matter over </w:t>
      </w:r>
      <w:r w:rsidR="004E25D9">
        <w:rPr>
          <w:color w:val="000000"/>
        </w:rPr>
        <w:t xml:space="preserve">time </w:t>
      </w:r>
      <w:r w:rsidRPr="00131698">
        <w:rPr>
          <w:color w:val="000000"/>
        </w:rPr>
        <w:t>(</w:t>
      </w:r>
      <w:proofErr w:type="spellStart"/>
      <w:r w:rsidRPr="00131698">
        <w:rPr>
          <w:color w:val="000000"/>
        </w:rPr>
        <w:t>Ogunwole</w:t>
      </w:r>
      <w:proofErr w:type="spellEnd"/>
      <w:r w:rsidRPr="00131698">
        <w:rPr>
          <w:color w:val="000000"/>
        </w:rPr>
        <w:t xml:space="preserve">, 2008). Thus, it was not surprising that manure use </w:t>
      </w:r>
      <w:r w:rsidRPr="00131698">
        <w:rPr>
          <w:noProof/>
          <w:color w:val="000000"/>
        </w:rPr>
        <w:t>was enhanced</w:t>
      </w:r>
      <w:r w:rsidRPr="00131698">
        <w:rPr>
          <w:color w:val="000000"/>
        </w:rPr>
        <w:t xml:space="preserve"> through a </w:t>
      </w:r>
      <w:r w:rsidRPr="00131698">
        <w:rPr>
          <w:noProof/>
          <w:color w:val="000000"/>
        </w:rPr>
        <w:t>more</w:t>
      </w:r>
      <w:r w:rsidRPr="00131698">
        <w:rPr>
          <w:color w:val="000000"/>
        </w:rPr>
        <w:t xml:space="preserve"> intensive extension </w:t>
      </w:r>
      <w:r w:rsidR="004E25D9">
        <w:rPr>
          <w:color w:val="000000"/>
        </w:rPr>
        <w:t xml:space="preserve">approaches </w:t>
      </w:r>
      <w:r w:rsidRPr="00131698">
        <w:rPr>
          <w:color w:val="000000"/>
        </w:rPr>
        <w:t>that included both demand</w:t>
      </w:r>
      <w:r w:rsidR="004E25D9">
        <w:rPr>
          <w:color w:val="000000"/>
        </w:rPr>
        <w:t>-led</w:t>
      </w:r>
      <w:r w:rsidRPr="00131698">
        <w:rPr>
          <w:color w:val="000000"/>
        </w:rPr>
        <w:t xml:space="preserve"> and supply</w:t>
      </w:r>
      <w:r w:rsidR="004E25D9">
        <w:rPr>
          <w:color w:val="000000"/>
        </w:rPr>
        <w:t>-led</w:t>
      </w:r>
      <w:r w:rsidRPr="00131698">
        <w:rPr>
          <w:color w:val="000000"/>
        </w:rPr>
        <w:t xml:space="preserve"> </w:t>
      </w:r>
      <w:r w:rsidR="004E25D9">
        <w:rPr>
          <w:color w:val="000000"/>
        </w:rPr>
        <w:t>systems</w:t>
      </w:r>
      <w:r w:rsidRPr="00131698">
        <w:rPr>
          <w:color w:val="000000"/>
        </w:rPr>
        <w:t xml:space="preserve">. </w:t>
      </w:r>
    </w:p>
    <w:p w:rsidR="00617030" w:rsidRPr="00131698" w:rsidRDefault="00617030" w:rsidP="00BD03F4">
      <w:pPr>
        <w:ind w:left="-90" w:firstLine="720"/>
        <w:jc w:val="both"/>
        <w:rPr>
          <w:rFonts w:eastAsia="Calibri"/>
          <w:noProof/>
          <w:color w:val="000000"/>
          <w:lang w:eastAsia="en-ZW"/>
        </w:rPr>
      </w:pPr>
    </w:p>
    <w:p w:rsidR="00617030" w:rsidRPr="00131698" w:rsidRDefault="005823EC" w:rsidP="00BD03F4">
      <w:pPr>
        <w:ind w:left="-90"/>
        <w:jc w:val="both"/>
        <w:rPr>
          <w:b/>
          <w:smallCaps/>
          <w:color w:val="000000"/>
        </w:rPr>
      </w:pPr>
      <w:r w:rsidRPr="00131698">
        <w:rPr>
          <w:b/>
          <w:caps/>
          <w:color w:val="000000"/>
        </w:rPr>
        <w:t>Concluding Remarks</w:t>
      </w:r>
      <w:r w:rsidR="004E25D9">
        <w:rPr>
          <w:b/>
          <w:caps/>
          <w:color w:val="000000"/>
        </w:rPr>
        <w:t xml:space="preserve"> </w:t>
      </w:r>
    </w:p>
    <w:p w:rsidR="00365077" w:rsidRDefault="004E25D9" w:rsidP="00365077">
      <w:pPr>
        <w:ind w:left="-90"/>
        <w:jc w:val="both"/>
        <w:rPr>
          <w:rFonts w:eastAsia="Calibri"/>
          <w:color w:val="000000"/>
        </w:rPr>
      </w:pPr>
      <w:r>
        <w:rPr>
          <w:rFonts w:eastAsia="Calibri"/>
          <w:color w:val="000000"/>
        </w:rPr>
        <w:t xml:space="preserve">This study confirms that the approach taken by </w:t>
      </w:r>
      <w:r w:rsidR="00617030" w:rsidRPr="00131698">
        <w:rPr>
          <w:rFonts w:eastAsia="Calibri"/>
          <w:color w:val="000000"/>
        </w:rPr>
        <w:t xml:space="preserve">extension </w:t>
      </w:r>
      <w:r w:rsidR="00365077">
        <w:rPr>
          <w:rFonts w:eastAsia="Calibri"/>
          <w:color w:val="000000"/>
        </w:rPr>
        <w:t>matters.  The participatory approach featured in Africa RISING’s bi-directional extension system</w:t>
      </w:r>
      <w:r w:rsidR="00617030" w:rsidRPr="00131698">
        <w:rPr>
          <w:rFonts w:eastAsia="Calibri"/>
          <w:color w:val="000000"/>
        </w:rPr>
        <w:t xml:space="preserve"> was </w:t>
      </w:r>
      <w:r w:rsidR="00365077">
        <w:rPr>
          <w:rFonts w:eastAsia="Calibri"/>
          <w:color w:val="000000"/>
        </w:rPr>
        <w:t xml:space="preserve">found to be especially </w:t>
      </w:r>
      <w:r w:rsidR="00617030" w:rsidRPr="00131698">
        <w:rPr>
          <w:rFonts w:eastAsia="Calibri"/>
          <w:noProof/>
          <w:color w:val="000000"/>
        </w:rPr>
        <w:t>important</w:t>
      </w:r>
      <w:r w:rsidR="00617030" w:rsidRPr="00131698">
        <w:rPr>
          <w:rFonts w:eastAsia="Calibri"/>
          <w:color w:val="000000"/>
        </w:rPr>
        <w:t xml:space="preserve"> for farmer adoption of the </w:t>
      </w:r>
      <w:r w:rsidR="00365077">
        <w:rPr>
          <w:rFonts w:eastAsia="Calibri"/>
          <w:color w:val="000000"/>
        </w:rPr>
        <w:t xml:space="preserve">relatively </w:t>
      </w:r>
      <w:r w:rsidR="00617030" w:rsidRPr="00131698">
        <w:rPr>
          <w:rFonts w:eastAsia="Calibri"/>
          <w:color w:val="000000"/>
        </w:rPr>
        <w:t>knowledge-intensive technologies evaluated in this study. The Africa RISING approach</w:t>
      </w:r>
      <w:r w:rsidR="00365077">
        <w:rPr>
          <w:rFonts w:eastAsia="Calibri"/>
          <w:color w:val="000000"/>
        </w:rPr>
        <w:t xml:space="preserve"> was also found to be most effective in promoting farmer adoption of sustainable intensification practices when </w:t>
      </w:r>
      <w:r w:rsidR="00617030" w:rsidRPr="00131698">
        <w:rPr>
          <w:rFonts w:eastAsia="Calibri"/>
          <w:color w:val="000000"/>
        </w:rPr>
        <w:t>combined with government extension</w:t>
      </w:r>
      <w:r w:rsidR="00365077">
        <w:rPr>
          <w:rFonts w:eastAsia="Calibri"/>
          <w:color w:val="000000"/>
        </w:rPr>
        <w:t xml:space="preserve"> approaches, which tended to extend consistent extension messages to farmers. </w:t>
      </w:r>
    </w:p>
    <w:p w:rsidR="00365077" w:rsidRDefault="00365077" w:rsidP="00365077">
      <w:pPr>
        <w:ind w:left="-90" w:firstLine="720"/>
        <w:jc w:val="both"/>
        <w:rPr>
          <w:rFonts w:eastAsia="Calibri"/>
          <w:color w:val="000000"/>
        </w:rPr>
      </w:pPr>
      <w:r>
        <w:rPr>
          <w:rFonts w:eastAsia="Calibri"/>
          <w:noProof/>
          <w:color w:val="000000"/>
        </w:rPr>
        <w:t>The adoption of p</w:t>
      </w:r>
      <w:r w:rsidR="00617030" w:rsidRPr="00131698">
        <w:rPr>
          <w:rFonts w:eastAsia="Calibri"/>
          <w:noProof/>
          <w:color w:val="000000"/>
        </w:rPr>
        <w:t>igeon pea</w:t>
      </w:r>
      <w:r w:rsidR="00617030" w:rsidRPr="00131698">
        <w:rPr>
          <w:rFonts w:eastAsia="Calibri"/>
          <w:color w:val="000000"/>
        </w:rPr>
        <w:t xml:space="preserve"> </w:t>
      </w:r>
      <w:r>
        <w:rPr>
          <w:rFonts w:eastAsia="Calibri"/>
          <w:color w:val="000000"/>
        </w:rPr>
        <w:t>– a new crop in the area with favorable soil augmenting potential if combined with appropriate management --</w:t>
      </w:r>
      <w:r w:rsidR="00617030" w:rsidRPr="00131698">
        <w:rPr>
          <w:rFonts w:eastAsia="Calibri"/>
          <w:color w:val="000000"/>
        </w:rPr>
        <w:t xml:space="preserve"> has increased in the group that </w:t>
      </w:r>
      <w:r w:rsidR="00617030" w:rsidRPr="00131698">
        <w:rPr>
          <w:rFonts w:eastAsia="Calibri"/>
          <w:noProof/>
          <w:color w:val="000000"/>
        </w:rPr>
        <w:t>was exposed</w:t>
      </w:r>
      <w:r w:rsidR="00617030" w:rsidRPr="00131698">
        <w:rPr>
          <w:rFonts w:eastAsia="Calibri"/>
          <w:color w:val="000000"/>
        </w:rPr>
        <w:t xml:space="preserve"> to more </w:t>
      </w:r>
      <w:r w:rsidR="00617030" w:rsidRPr="00131698">
        <w:rPr>
          <w:rFonts w:eastAsia="Calibri"/>
          <w:noProof/>
          <w:color w:val="000000"/>
        </w:rPr>
        <w:t>intensive</w:t>
      </w:r>
      <w:r w:rsidR="00617030" w:rsidRPr="00131698">
        <w:rPr>
          <w:rFonts w:eastAsia="Calibri"/>
          <w:color w:val="000000"/>
        </w:rPr>
        <w:t xml:space="preserve"> and possibly reinforcing extension</w:t>
      </w:r>
      <w:r>
        <w:rPr>
          <w:rFonts w:eastAsia="Calibri"/>
          <w:color w:val="000000"/>
        </w:rPr>
        <w:t xml:space="preserve"> approaches</w:t>
      </w:r>
      <w:r w:rsidR="00617030" w:rsidRPr="00131698">
        <w:rPr>
          <w:rFonts w:eastAsia="Calibri"/>
          <w:color w:val="000000"/>
        </w:rPr>
        <w:t>.</w:t>
      </w:r>
    </w:p>
    <w:p w:rsidR="00617030" w:rsidRPr="00131698" w:rsidRDefault="00617030" w:rsidP="00365077">
      <w:pPr>
        <w:ind w:left="-90" w:firstLine="720"/>
        <w:jc w:val="both"/>
        <w:rPr>
          <w:rFonts w:eastAsia="Calibri"/>
          <w:color w:val="000000"/>
        </w:rPr>
      </w:pPr>
      <w:r w:rsidRPr="00131698">
        <w:rPr>
          <w:rFonts w:eastAsia="Calibri"/>
          <w:color w:val="000000"/>
        </w:rPr>
        <w:t>We conclude that</w:t>
      </w:r>
      <w:r w:rsidR="00365077">
        <w:rPr>
          <w:rFonts w:eastAsia="Calibri"/>
          <w:color w:val="000000"/>
        </w:rPr>
        <w:t xml:space="preserve"> providing low-risk opportunities for </w:t>
      </w:r>
      <w:r w:rsidRPr="00131698">
        <w:rPr>
          <w:rFonts w:eastAsia="Calibri"/>
          <w:color w:val="000000"/>
        </w:rPr>
        <w:t xml:space="preserve">farmers to experiment </w:t>
      </w:r>
      <w:r w:rsidRPr="00131698">
        <w:rPr>
          <w:rFonts w:eastAsia="Calibri"/>
          <w:noProof/>
          <w:color w:val="000000"/>
        </w:rPr>
        <w:t>with</w:t>
      </w:r>
      <w:r w:rsidRPr="00131698">
        <w:rPr>
          <w:rFonts w:eastAsia="Calibri"/>
          <w:color w:val="000000"/>
        </w:rPr>
        <w:t xml:space="preserve"> new technologies with guidance from </w:t>
      </w:r>
      <w:r w:rsidRPr="00131698">
        <w:rPr>
          <w:rFonts w:eastAsia="Calibri"/>
          <w:noProof/>
          <w:color w:val="000000"/>
        </w:rPr>
        <w:t>researchers</w:t>
      </w:r>
      <w:r w:rsidRPr="00131698">
        <w:rPr>
          <w:rFonts w:eastAsia="Calibri"/>
          <w:color w:val="000000"/>
        </w:rPr>
        <w:t xml:space="preserve"> and extension agents </w:t>
      </w:r>
      <w:r w:rsidR="00365077">
        <w:rPr>
          <w:rFonts w:eastAsia="Calibri"/>
          <w:color w:val="000000"/>
        </w:rPr>
        <w:t xml:space="preserve">was an </w:t>
      </w:r>
      <w:r w:rsidRPr="00131698">
        <w:rPr>
          <w:rFonts w:eastAsia="Calibri"/>
          <w:noProof/>
          <w:color w:val="000000"/>
        </w:rPr>
        <w:t>effective</w:t>
      </w:r>
      <w:r w:rsidRPr="00131698">
        <w:rPr>
          <w:rFonts w:eastAsia="Calibri"/>
          <w:color w:val="000000"/>
        </w:rPr>
        <w:t xml:space="preserve"> approach to disseminate and encourage </w:t>
      </w:r>
      <w:r w:rsidR="00365077">
        <w:rPr>
          <w:rFonts w:eastAsia="Calibri"/>
          <w:color w:val="000000"/>
        </w:rPr>
        <w:t xml:space="preserve">the adoption of </w:t>
      </w:r>
      <w:r w:rsidRPr="00131698">
        <w:rPr>
          <w:rFonts w:eastAsia="Calibri"/>
          <w:color w:val="000000"/>
        </w:rPr>
        <w:t>new improved technologies</w:t>
      </w:r>
      <w:r w:rsidR="00365077">
        <w:rPr>
          <w:rFonts w:eastAsia="Calibri"/>
          <w:color w:val="000000"/>
        </w:rPr>
        <w:t xml:space="preserve"> that can increase </w:t>
      </w:r>
      <w:r w:rsidRPr="00131698">
        <w:rPr>
          <w:rFonts w:eastAsia="Calibri"/>
          <w:color w:val="000000"/>
        </w:rPr>
        <w:t>crop productivity and contribute to sustainable agricultural intensification</w:t>
      </w:r>
      <w:r w:rsidR="00365077">
        <w:rPr>
          <w:rFonts w:eastAsia="Calibri"/>
          <w:color w:val="000000"/>
        </w:rPr>
        <w:t xml:space="preserve">. </w:t>
      </w:r>
    </w:p>
    <w:p w:rsidR="00BD03F4" w:rsidRPr="00131698" w:rsidRDefault="00365077" w:rsidP="00BD03F4">
      <w:pPr>
        <w:ind w:left="-90" w:firstLine="720"/>
        <w:jc w:val="both"/>
        <w:rPr>
          <w:bCs/>
          <w:noProof/>
          <w:color w:val="000000"/>
        </w:rPr>
      </w:pPr>
      <w:r>
        <w:rPr>
          <w:rStyle w:val="A5"/>
          <w:rFonts w:cs="Times New Roman"/>
          <w:sz w:val="24"/>
          <w:szCs w:val="24"/>
        </w:rPr>
        <w:t>In these study areas of Malawi, farmers in close contact with the traditional public agricultural extension programs were more likely to adopt some new sustainable intensification practices over time, but new adoption tended to be especially favorable when combined with innovative participatory approaches such as Africa RISING.  However, the percentage of farmers adopting new sustainable intensification practices over time</w:t>
      </w:r>
      <w:r w:rsidR="00540E9E">
        <w:rPr>
          <w:rStyle w:val="A5"/>
          <w:rFonts w:cs="Times New Roman"/>
          <w:sz w:val="24"/>
          <w:szCs w:val="24"/>
        </w:rPr>
        <w:t xml:space="preserve">, while higher for Africa RISING, was quite modest for all groups, suggesting that sustained commitment for participatory extension programs will be needed to promote widespread adoption of improved practices in </w:t>
      </w:r>
      <w:r w:rsidR="00540E9E">
        <w:rPr>
          <w:rStyle w:val="A5"/>
          <w:rFonts w:cs="Times New Roman"/>
          <w:sz w:val="24"/>
          <w:szCs w:val="24"/>
        </w:rPr>
        <w:lastRenderedPageBreak/>
        <w:t xml:space="preserve">areas of Africa where most farmers are highly resource-constrained and unable to take major risks. </w:t>
      </w:r>
    </w:p>
    <w:p w:rsidR="005823EC" w:rsidRPr="00131698" w:rsidRDefault="005823EC" w:rsidP="00BD03F4">
      <w:pPr>
        <w:ind w:left="-90"/>
        <w:jc w:val="both"/>
        <w:rPr>
          <w:b/>
          <w:caps/>
          <w:color w:val="000000"/>
        </w:rPr>
      </w:pPr>
      <w:r w:rsidRPr="00131698">
        <w:rPr>
          <w:b/>
          <w:caps/>
          <w:color w:val="000000"/>
        </w:rPr>
        <w:t xml:space="preserve">References: </w:t>
      </w:r>
    </w:p>
    <w:p w:rsidR="00BD6EF7" w:rsidRPr="00131698" w:rsidRDefault="00BD6EF7" w:rsidP="00BD6EF7">
      <w:pPr>
        <w:tabs>
          <w:tab w:val="left" w:pos="360"/>
        </w:tabs>
        <w:ind w:left="-90" w:right="-256" w:hanging="270"/>
        <w:jc w:val="both"/>
        <w:rPr>
          <w:color w:val="000000"/>
          <w:sz w:val="20"/>
          <w:szCs w:val="20"/>
        </w:rPr>
      </w:pPr>
      <w:proofErr w:type="spellStart"/>
      <w:r w:rsidRPr="00131698">
        <w:rPr>
          <w:color w:val="000000"/>
          <w:sz w:val="20"/>
          <w:szCs w:val="20"/>
        </w:rPr>
        <w:t>Barbier</w:t>
      </w:r>
      <w:proofErr w:type="spellEnd"/>
      <w:r w:rsidRPr="00131698">
        <w:rPr>
          <w:color w:val="000000"/>
          <w:sz w:val="20"/>
          <w:szCs w:val="20"/>
        </w:rPr>
        <w:t xml:space="preserve">, E.B. and J.P. </w:t>
      </w:r>
      <w:proofErr w:type="spellStart"/>
      <w:r w:rsidRPr="00131698">
        <w:rPr>
          <w:color w:val="000000"/>
          <w:sz w:val="20"/>
          <w:szCs w:val="20"/>
        </w:rPr>
        <w:t>Hochard</w:t>
      </w:r>
      <w:proofErr w:type="spellEnd"/>
      <w:r>
        <w:rPr>
          <w:color w:val="000000"/>
          <w:sz w:val="20"/>
          <w:szCs w:val="20"/>
        </w:rPr>
        <w:t>,</w:t>
      </w:r>
      <w:r w:rsidRPr="00131698">
        <w:rPr>
          <w:color w:val="000000"/>
          <w:sz w:val="20"/>
          <w:szCs w:val="20"/>
        </w:rPr>
        <w:t xml:space="preserve"> 2016. </w:t>
      </w:r>
      <w:r w:rsidRPr="00131698">
        <w:rPr>
          <w:noProof/>
          <w:color w:val="000000"/>
          <w:sz w:val="20"/>
          <w:szCs w:val="20"/>
        </w:rPr>
        <w:t>Does land degradation increase poverty in developing countries.</w:t>
      </w:r>
      <w:r w:rsidRPr="00131698">
        <w:rPr>
          <w:color w:val="000000"/>
          <w:sz w:val="20"/>
          <w:szCs w:val="20"/>
        </w:rPr>
        <w:t xml:space="preserve"> </w:t>
      </w:r>
      <w:proofErr w:type="spellStart"/>
      <w:r w:rsidRPr="00131698">
        <w:rPr>
          <w:color w:val="000000"/>
          <w:sz w:val="20"/>
          <w:szCs w:val="20"/>
        </w:rPr>
        <w:t>PLoS</w:t>
      </w:r>
      <w:proofErr w:type="spellEnd"/>
      <w:r w:rsidRPr="00131698">
        <w:rPr>
          <w:color w:val="000000"/>
          <w:sz w:val="20"/>
          <w:szCs w:val="20"/>
        </w:rPr>
        <w:t xml:space="preserve"> One 11(5)</w:t>
      </w:r>
      <w:proofErr w:type="gramStart"/>
      <w:r w:rsidRPr="00131698">
        <w:rPr>
          <w:color w:val="000000"/>
          <w:sz w:val="20"/>
          <w:szCs w:val="20"/>
        </w:rPr>
        <w:t>:e0152973</w:t>
      </w:r>
      <w:proofErr w:type="gramEnd"/>
      <w:r w:rsidRPr="00131698">
        <w:rPr>
          <w:color w:val="000000"/>
          <w:sz w:val="20"/>
          <w:szCs w:val="20"/>
        </w:rPr>
        <w:t xml:space="preserve">. </w:t>
      </w:r>
      <w:r w:rsidRPr="00131698">
        <w:rPr>
          <w:noProof/>
          <w:color w:val="000000"/>
          <w:sz w:val="20"/>
          <w:szCs w:val="20"/>
        </w:rPr>
        <w:t>Doi</w:t>
      </w:r>
      <w:proofErr w:type="gramStart"/>
      <w:r w:rsidRPr="00131698">
        <w:rPr>
          <w:color w:val="000000"/>
          <w:sz w:val="20"/>
          <w:szCs w:val="20"/>
        </w:rPr>
        <w:t>:10.1371</w:t>
      </w:r>
      <w:proofErr w:type="gramEnd"/>
      <w:r w:rsidRPr="00131698">
        <w:rPr>
          <w:color w:val="000000"/>
          <w:sz w:val="20"/>
          <w:szCs w:val="20"/>
        </w:rPr>
        <w:t>/</w:t>
      </w:r>
      <w:proofErr w:type="spellStart"/>
      <w:r w:rsidRPr="00131698">
        <w:rPr>
          <w:color w:val="000000"/>
          <w:sz w:val="20"/>
          <w:szCs w:val="20"/>
        </w:rPr>
        <w:t>journal.pone</w:t>
      </w:r>
      <w:proofErr w:type="spellEnd"/>
      <w:r w:rsidRPr="00131698">
        <w:rPr>
          <w:color w:val="000000"/>
          <w:sz w:val="20"/>
          <w:szCs w:val="20"/>
        </w:rPr>
        <w:t>. 0152973</w:t>
      </w:r>
    </w:p>
    <w:p w:rsidR="00BD6EF7" w:rsidRPr="00131698" w:rsidRDefault="00BD6EF7" w:rsidP="00BD6EF7">
      <w:pPr>
        <w:ind w:left="-90" w:right="-256" w:hanging="270"/>
        <w:jc w:val="both"/>
        <w:rPr>
          <w:color w:val="000000"/>
          <w:sz w:val="20"/>
          <w:szCs w:val="20"/>
        </w:rPr>
      </w:pPr>
      <w:r w:rsidRPr="00131698">
        <w:rPr>
          <w:color w:val="000000"/>
          <w:sz w:val="20"/>
          <w:szCs w:val="20"/>
        </w:rPr>
        <w:t>Biggs, S.D.</w:t>
      </w:r>
      <w:r>
        <w:rPr>
          <w:color w:val="000000"/>
          <w:sz w:val="20"/>
          <w:szCs w:val="20"/>
        </w:rPr>
        <w:t>,</w:t>
      </w:r>
      <w:r w:rsidRPr="00131698">
        <w:rPr>
          <w:color w:val="000000"/>
          <w:sz w:val="20"/>
          <w:szCs w:val="20"/>
        </w:rPr>
        <w:t xml:space="preserve"> 1990</w:t>
      </w:r>
      <w:r w:rsidR="00F509C0">
        <w:rPr>
          <w:color w:val="000000"/>
          <w:sz w:val="20"/>
          <w:szCs w:val="20"/>
        </w:rPr>
        <w:t>.</w:t>
      </w:r>
      <w:r w:rsidRPr="00131698">
        <w:rPr>
          <w:color w:val="000000"/>
          <w:sz w:val="20"/>
          <w:szCs w:val="20"/>
        </w:rPr>
        <w:t xml:space="preserve"> A multiple </w:t>
      </w:r>
      <w:r w:rsidRPr="00131698">
        <w:rPr>
          <w:noProof/>
          <w:color w:val="000000"/>
          <w:sz w:val="20"/>
          <w:szCs w:val="20"/>
        </w:rPr>
        <w:t>source</w:t>
      </w:r>
      <w:r w:rsidRPr="00131698">
        <w:rPr>
          <w:color w:val="000000"/>
          <w:sz w:val="20"/>
          <w:szCs w:val="20"/>
        </w:rPr>
        <w:t xml:space="preserve"> of innovation model of agricultural research and technology </w:t>
      </w:r>
      <w:r w:rsidRPr="00131698">
        <w:rPr>
          <w:noProof/>
          <w:color w:val="000000"/>
          <w:sz w:val="20"/>
          <w:szCs w:val="20"/>
        </w:rPr>
        <w:t>promotion. World</w:t>
      </w:r>
      <w:r w:rsidRPr="00131698">
        <w:rPr>
          <w:color w:val="000000"/>
          <w:sz w:val="20"/>
          <w:szCs w:val="20"/>
        </w:rPr>
        <w:t xml:space="preserve"> Development, 18:1481-1499</w:t>
      </w:r>
    </w:p>
    <w:p w:rsidR="00BD6EF7" w:rsidRPr="00131698" w:rsidRDefault="00BD6EF7" w:rsidP="00BD6EF7">
      <w:pPr>
        <w:ind w:left="-90" w:right="-256" w:hanging="270"/>
        <w:jc w:val="both"/>
        <w:rPr>
          <w:color w:val="000000"/>
          <w:sz w:val="20"/>
          <w:szCs w:val="20"/>
        </w:rPr>
      </w:pPr>
      <w:proofErr w:type="spellStart"/>
      <w:r w:rsidRPr="00131698">
        <w:rPr>
          <w:color w:val="000000"/>
          <w:sz w:val="20"/>
          <w:szCs w:val="20"/>
        </w:rPr>
        <w:t>Byerlee</w:t>
      </w:r>
      <w:proofErr w:type="spellEnd"/>
      <w:r w:rsidRPr="00131698">
        <w:rPr>
          <w:color w:val="000000"/>
          <w:sz w:val="20"/>
          <w:szCs w:val="20"/>
        </w:rPr>
        <w:t xml:space="preserve">, D., A. de </w:t>
      </w:r>
      <w:proofErr w:type="spellStart"/>
      <w:r w:rsidRPr="00131698">
        <w:rPr>
          <w:color w:val="000000"/>
          <w:sz w:val="20"/>
          <w:szCs w:val="20"/>
        </w:rPr>
        <w:t>Janvry</w:t>
      </w:r>
      <w:proofErr w:type="spellEnd"/>
      <w:r w:rsidRPr="00131698">
        <w:rPr>
          <w:color w:val="000000"/>
          <w:sz w:val="20"/>
          <w:szCs w:val="20"/>
        </w:rPr>
        <w:t xml:space="preserve">, E. </w:t>
      </w:r>
      <w:proofErr w:type="spellStart"/>
      <w:r w:rsidRPr="00131698">
        <w:rPr>
          <w:color w:val="000000"/>
          <w:sz w:val="20"/>
          <w:szCs w:val="20"/>
        </w:rPr>
        <w:t>Sadoulet</w:t>
      </w:r>
      <w:proofErr w:type="spellEnd"/>
      <w:r>
        <w:rPr>
          <w:color w:val="000000"/>
          <w:sz w:val="20"/>
          <w:szCs w:val="20"/>
        </w:rPr>
        <w:t>,</w:t>
      </w:r>
      <w:r w:rsidRPr="00131698">
        <w:rPr>
          <w:color w:val="000000"/>
          <w:sz w:val="20"/>
          <w:szCs w:val="20"/>
        </w:rPr>
        <w:t xml:space="preserve"> 2009 Agriculture for development: Towards a new paradigm Annual Review of Resource Economics, 1:15–31</w:t>
      </w:r>
    </w:p>
    <w:p w:rsidR="00BD6EF7" w:rsidRDefault="00BD6EF7" w:rsidP="00BD6EF7">
      <w:pPr>
        <w:ind w:left="-90" w:right="-256" w:hanging="270"/>
        <w:jc w:val="both"/>
        <w:rPr>
          <w:color w:val="000000"/>
          <w:sz w:val="20"/>
          <w:szCs w:val="20"/>
        </w:rPr>
      </w:pPr>
      <w:r w:rsidRPr="00131698">
        <w:rPr>
          <w:color w:val="000000"/>
          <w:sz w:val="20"/>
          <w:szCs w:val="20"/>
        </w:rPr>
        <w:t xml:space="preserve">Dalton, T.J., M. </w:t>
      </w:r>
      <w:proofErr w:type="spellStart"/>
      <w:r w:rsidRPr="00131698">
        <w:rPr>
          <w:color w:val="000000"/>
          <w:sz w:val="20"/>
          <w:szCs w:val="20"/>
        </w:rPr>
        <w:t>Yesuf</w:t>
      </w:r>
      <w:proofErr w:type="spellEnd"/>
      <w:r w:rsidRPr="00131698">
        <w:rPr>
          <w:color w:val="000000"/>
          <w:sz w:val="20"/>
          <w:szCs w:val="20"/>
        </w:rPr>
        <w:t xml:space="preserve"> and L, Muhammad</w:t>
      </w:r>
      <w:r>
        <w:rPr>
          <w:color w:val="000000"/>
          <w:sz w:val="20"/>
          <w:szCs w:val="20"/>
        </w:rPr>
        <w:t>,</w:t>
      </w:r>
      <w:r w:rsidRPr="00131698">
        <w:rPr>
          <w:color w:val="000000"/>
          <w:sz w:val="20"/>
          <w:szCs w:val="20"/>
        </w:rPr>
        <w:t xml:space="preserve"> 2011</w:t>
      </w:r>
      <w:r>
        <w:rPr>
          <w:color w:val="000000"/>
          <w:sz w:val="20"/>
          <w:szCs w:val="20"/>
        </w:rPr>
        <w:t>.</w:t>
      </w:r>
      <w:r w:rsidRPr="00131698">
        <w:rPr>
          <w:color w:val="000000"/>
          <w:sz w:val="20"/>
          <w:szCs w:val="20"/>
        </w:rPr>
        <w:t xml:space="preserve"> “Demand for Drought Tolerance in Africa: Selection of Drought Tolerant Maize Seed using Framed Field Experiments,”</w:t>
      </w:r>
      <w:r>
        <w:rPr>
          <w:color w:val="000000"/>
          <w:sz w:val="20"/>
          <w:szCs w:val="20"/>
        </w:rPr>
        <w:t xml:space="preserve"> </w:t>
      </w:r>
      <w:r w:rsidRPr="00131698">
        <w:rPr>
          <w:color w:val="000000"/>
          <w:sz w:val="20"/>
          <w:szCs w:val="20"/>
        </w:rPr>
        <w:t>paper presented at AAEA Annual Meeting, July 24-26, 2011, Pittsburgh, Pennsylvania.</w:t>
      </w:r>
    </w:p>
    <w:p w:rsidR="00BD6EF7" w:rsidRPr="00131698" w:rsidRDefault="00BD6EF7" w:rsidP="00BD6EF7">
      <w:pPr>
        <w:ind w:left="-90" w:right="-256" w:hanging="270"/>
        <w:jc w:val="both"/>
        <w:rPr>
          <w:i/>
          <w:iCs/>
          <w:color w:val="000000"/>
          <w:sz w:val="20"/>
          <w:szCs w:val="20"/>
        </w:rPr>
      </w:pPr>
      <w:r w:rsidRPr="00131698">
        <w:rPr>
          <w:color w:val="000000"/>
          <w:sz w:val="20"/>
          <w:szCs w:val="20"/>
        </w:rPr>
        <w:t xml:space="preserve">Davis, K., E. </w:t>
      </w:r>
      <w:proofErr w:type="spellStart"/>
      <w:r w:rsidRPr="00131698">
        <w:rPr>
          <w:color w:val="000000"/>
          <w:sz w:val="20"/>
          <w:szCs w:val="20"/>
        </w:rPr>
        <w:t>Nkonya</w:t>
      </w:r>
      <w:proofErr w:type="spellEnd"/>
      <w:r w:rsidRPr="00131698">
        <w:rPr>
          <w:color w:val="000000"/>
          <w:sz w:val="20"/>
          <w:szCs w:val="20"/>
        </w:rPr>
        <w:t xml:space="preserve">, E. Kato, D.A. </w:t>
      </w:r>
      <w:proofErr w:type="spellStart"/>
      <w:r w:rsidRPr="00131698">
        <w:rPr>
          <w:color w:val="000000"/>
          <w:sz w:val="20"/>
          <w:szCs w:val="20"/>
        </w:rPr>
        <w:t>Mekonnen</w:t>
      </w:r>
      <w:proofErr w:type="spellEnd"/>
      <w:r w:rsidRPr="00131698">
        <w:rPr>
          <w:color w:val="000000"/>
          <w:sz w:val="20"/>
          <w:szCs w:val="20"/>
        </w:rPr>
        <w:t xml:space="preserve">, M. </w:t>
      </w:r>
      <w:proofErr w:type="spellStart"/>
      <w:r w:rsidRPr="00131698">
        <w:rPr>
          <w:color w:val="000000"/>
          <w:sz w:val="20"/>
          <w:szCs w:val="20"/>
        </w:rPr>
        <w:t>Odendo</w:t>
      </w:r>
      <w:proofErr w:type="spellEnd"/>
      <w:r w:rsidRPr="00131698">
        <w:rPr>
          <w:color w:val="000000"/>
          <w:sz w:val="20"/>
          <w:szCs w:val="20"/>
        </w:rPr>
        <w:t xml:space="preserve">, R. </w:t>
      </w:r>
      <w:proofErr w:type="spellStart"/>
      <w:r w:rsidRPr="00131698">
        <w:rPr>
          <w:color w:val="000000"/>
          <w:sz w:val="20"/>
          <w:szCs w:val="20"/>
        </w:rPr>
        <w:t>Miiro</w:t>
      </w:r>
      <w:proofErr w:type="spellEnd"/>
      <w:r w:rsidRPr="00131698">
        <w:rPr>
          <w:color w:val="000000"/>
          <w:sz w:val="20"/>
          <w:szCs w:val="20"/>
        </w:rPr>
        <w:t xml:space="preserve">, J. </w:t>
      </w:r>
      <w:proofErr w:type="spellStart"/>
      <w:r w:rsidRPr="00131698">
        <w:rPr>
          <w:color w:val="000000"/>
          <w:sz w:val="20"/>
          <w:szCs w:val="20"/>
        </w:rPr>
        <w:t>Nkuba</w:t>
      </w:r>
      <w:proofErr w:type="spellEnd"/>
      <w:r>
        <w:rPr>
          <w:color w:val="000000"/>
          <w:sz w:val="20"/>
          <w:szCs w:val="20"/>
        </w:rPr>
        <w:t>,</w:t>
      </w:r>
      <w:r w:rsidRPr="00131698">
        <w:rPr>
          <w:color w:val="000000"/>
          <w:sz w:val="20"/>
          <w:szCs w:val="20"/>
        </w:rPr>
        <w:t xml:space="preserve"> 2012</w:t>
      </w:r>
      <w:r>
        <w:rPr>
          <w:color w:val="000000"/>
          <w:sz w:val="20"/>
          <w:szCs w:val="20"/>
        </w:rPr>
        <w:t>.</w:t>
      </w:r>
      <w:r w:rsidRPr="00131698">
        <w:rPr>
          <w:color w:val="000000"/>
          <w:sz w:val="20"/>
          <w:szCs w:val="20"/>
        </w:rPr>
        <w:t xml:space="preserve"> </w:t>
      </w:r>
      <w:hyperlink r:id="rId14" w:history="1">
        <w:r w:rsidRPr="0009752C">
          <w:rPr>
            <w:rStyle w:val="Hyperlink"/>
            <w:color w:val="000000"/>
            <w:sz w:val="20"/>
            <w:szCs w:val="20"/>
            <w:u w:val="none"/>
          </w:rPr>
          <w:t>Impact of Farmer Field Schools on Agricultural Productivity and Poverty in East Africa</w:t>
        </w:r>
      </w:hyperlink>
      <w:r w:rsidRPr="0009752C">
        <w:rPr>
          <w:color w:val="000000"/>
          <w:sz w:val="20"/>
          <w:szCs w:val="20"/>
        </w:rPr>
        <w:t xml:space="preserve"> </w:t>
      </w:r>
      <w:r w:rsidRPr="0009752C">
        <w:rPr>
          <w:i/>
          <w:iCs/>
          <w:color w:val="000000"/>
          <w:sz w:val="20"/>
          <w:szCs w:val="20"/>
        </w:rPr>
        <w:t>World Development</w:t>
      </w:r>
      <w:r w:rsidRPr="0009752C">
        <w:rPr>
          <w:color w:val="000000"/>
          <w:sz w:val="20"/>
          <w:szCs w:val="20"/>
        </w:rPr>
        <w:t xml:space="preserve">, </w:t>
      </w:r>
      <w:r w:rsidRPr="0009752C">
        <w:rPr>
          <w:i/>
          <w:iCs/>
          <w:color w:val="000000"/>
          <w:sz w:val="20"/>
          <w:szCs w:val="20"/>
        </w:rPr>
        <w:t>Vol</w:t>
      </w:r>
      <w:r w:rsidRPr="00131698">
        <w:rPr>
          <w:i/>
          <w:iCs/>
          <w:color w:val="000000"/>
          <w:sz w:val="20"/>
          <w:szCs w:val="20"/>
        </w:rPr>
        <w:t>ume 40, Issue 2</w:t>
      </w:r>
      <w:r w:rsidRPr="00131698">
        <w:rPr>
          <w:color w:val="000000"/>
          <w:sz w:val="20"/>
          <w:szCs w:val="20"/>
        </w:rPr>
        <w:t xml:space="preserve">, </w:t>
      </w:r>
      <w:r w:rsidRPr="00131698">
        <w:rPr>
          <w:i/>
          <w:iCs/>
          <w:color w:val="000000"/>
          <w:sz w:val="20"/>
          <w:szCs w:val="20"/>
        </w:rPr>
        <w:t>February 2012</w:t>
      </w:r>
      <w:r w:rsidRPr="00131698">
        <w:rPr>
          <w:color w:val="000000"/>
          <w:sz w:val="20"/>
          <w:szCs w:val="20"/>
        </w:rPr>
        <w:t xml:space="preserve">, </w:t>
      </w:r>
      <w:r w:rsidRPr="00131698">
        <w:rPr>
          <w:i/>
          <w:iCs/>
          <w:color w:val="000000"/>
          <w:sz w:val="20"/>
          <w:szCs w:val="20"/>
        </w:rPr>
        <w:t>Pages 402-413</w:t>
      </w:r>
    </w:p>
    <w:p w:rsidR="00BD6EF7" w:rsidRPr="0009752C" w:rsidRDefault="00BD6EF7" w:rsidP="00BD6EF7">
      <w:pPr>
        <w:tabs>
          <w:tab w:val="left" w:pos="360"/>
        </w:tabs>
        <w:ind w:left="-90" w:right="-256" w:hanging="270"/>
        <w:jc w:val="both"/>
        <w:rPr>
          <w:color w:val="000000"/>
          <w:sz w:val="20"/>
          <w:szCs w:val="20"/>
        </w:rPr>
      </w:pPr>
      <w:proofErr w:type="spellStart"/>
      <w:r w:rsidRPr="00131698">
        <w:rPr>
          <w:color w:val="000000"/>
          <w:sz w:val="20"/>
          <w:szCs w:val="20"/>
        </w:rPr>
        <w:t>Dejene</w:t>
      </w:r>
      <w:proofErr w:type="spellEnd"/>
      <w:r w:rsidRPr="00131698">
        <w:rPr>
          <w:color w:val="000000"/>
          <w:sz w:val="20"/>
          <w:szCs w:val="20"/>
        </w:rPr>
        <w:t>, A.</w:t>
      </w:r>
      <w:r>
        <w:rPr>
          <w:color w:val="000000"/>
          <w:sz w:val="20"/>
          <w:szCs w:val="20"/>
        </w:rPr>
        <w:t>,</w:t>
      </w:r>
      <w:r w:rsidRPr="00131698">
        <w:rPr>
          <w:color w:val="000000"/>
          <w:sz w:val="20"/>
          <w:szCs w:val="20"/>
        </w:rPr>
        <w:t xml:space="preserve"> 1989.  </w:t>
      </w:r>
      <w:hyperlink r:id="rId15" w:history="1">
        <w:r w:rsidRPr="0009752C">
          <w:rPr>
            <w:rStyle w:val="Hyperlink"/>
            <w:color w:val="000000"/>
            <w:sz w:val="20"/>
            <w:szCs w:val="20"/>
            <w:u w:val="none"/>
          </w:rPr>
          <w:t xml:space="preserve">The training and visit agricultural </w:t>
        </w:r>
        <w:r w:rsidRPr="0009752C">
          <w:rPr>
            <w:rStyle w:val="hit"/>
            <w:color w:val="000000"/>
            <w:sz w:val="20"/>
            <w:szCs w:val="20"/>
          </w:rPr>
          <w:t>extension</w:t>
        </w:r>
        <w:r w:rsidRPr="0009752C">
          <w:rPr>
            <w:rStyle w:val="Hyperlink"/>
            <w:color w:val="000000"/>
            <w:sz w:val="20"/>
            <w:szCs w:val="20"/>
            <w:u w:val="none"/>
          </w:rPr>
          <w:t xml:space="preserve"> in </w:t>
        </w:r>
        <w:proofErr w:type="spellStart"/>
        <w:r w:rsidRPr="0009752C">
          <w:rPr>
            <w:rStyle w:val="Hyperlink"/>
            <w:color w:val="000000"/>
            <w:sz w:val="20"/>
            <w:szCs w:val="20"/>
            <w:u w:val="none"/>
          </w:rPr>
          <w:t>rainfed</w:t>
        </w:r>
        <w:proofErr w:type="spellEnd"/>
        <w:r w:rsidRPr="0009752C">
          <w:rPr>
            <w:rStyle w:val="Hyperlink"/>
            <w:color w:val="000000"/>
            <w:sz w:val="20"/>
            <w:szCs w:val="20"/>
            <w:u w:val="none"/>
          </w:rPr>
          <w:t xml:space="preserve"> agriculture: Lessons from Ethiopia</w:t>
        </w:r>
      </w:hyperlink>
    </w:p>
    <w:p w:rsidR="00BD6EF7" w:rsidRPr="00131698" w:rsidRDefault="00BD6EF7" w:rsidP="00BD6EF7">
      <w:pPr>
        <w:tabs>
          <w:tab w:val="left" w:pos="0"/>
        </w:tabs>
        <w:autoSpaceDE w:val="0"/>
        <w:autoSpaceDN w:val="0"/>
        <w:adjustRightInd w:val="0"/>
        <w:ind w:left="-90" w:right="-256" w:hanging="270"/>
        <w:jc w:val="both"/>
        <w:rPr>
          <w:color w:val="000000"/>
          <w:sz w:val="20"/>
          <w:szCs w:val="20"/>
        </w:rPr>
      </w:pPr>
      <w:r w:rsidRPr="00131698">
        <w:rPr>
          <w:color w:val="000000"/>
          <w:sz w:val="20"/>
          <w:szCs w:val="20"/>
        </w:rPr>
        <w:t xml:space="preserve">Denning, G., </w:t>
      </w:r>
      <w:r>
        <w:rPr>
          <w:color w:val="000000"/>
          <w:sz w:val="20"/>
          <w:szCs w:val="20"/>
        </w:rPr>
        <w:t xml:space="preserve">P. </w:t>
      </w:r>
      <w:proofErr w:type="spellStart"/>
      <w:r w:rsidRPr="00131698">
        <w:rPr>
          <w:color w:val="000000"/>
          <w:sz w:val="20"/>
          <w:szCs w:val="20"/>
        </w:rPr>
        <w:t>Kabambe</w:t>
      </w:r>
      <w:proofErr w:type="spellEnd"/>
      <w:r w:rsidRPr="00131698">
        <w:rPr>
          <w:color w:val="000000"/>
          <w:sz w:val="20"/>
          <w:szCs w:val="20"/>
        </w:rPr>
        <w:t xml:space="preserve">, </w:t>
      </w:r>
      <w:r>
        <w:rPr>
          <w:color w:val="000000"/>
          <w:sz w:val="20"/>
          <w:szCs w:val="20"/>
        </w:rPr>
        <w:t>P.</w:t>
      </w:r>
      <w:r w:rsidRPr="00131698">
        <w:rPr>
          <w:color w:val="000000"/>
          <w:sz w:val="20"/>
          <w:szCs w:val="20"/>
        </w:rPr>
        <w:t xml:space="preserve"> Sanchez, </w:t>
      </w:r>
      <w:r>
        <w:rPr>
          <w:color w:val="000000"/>
          <w:sz w:val="20"/>
          <w:szCs w:val="20"/>
        </w:rPr>
        <w:t>A.</w:t>
      </w:r>
      <w:r w:rsidRPr="00131698">
        <w:rPr>
          <w:color w:val="000000"/>
          <w:sz w:val="20"/>
          <w:szCs w:val="20"/>
        </w:rPr>
        <w:t xml:space="preserve"> Malik, </w:t>
      </w:r>
      <w:r>
        <w:rPr>
          <w:color w:val="000000"/>
          <w:sz w:val="20"/>
          <w:szCs w:val="20"/>
        </w:rPr>
        <w:t>R.</w:t>
      </w:r>
      <w:r w:rsidRPr="00131698">
        <w:rPr>
          <w:color w:val="000000"/>
          <w:sz w:val="20"/>
          <w:szCs w:val="20"/>
        </w:rPr>
        <w:t xml:space="preserve"> Flor, </w:t>
      </w:r>
      <w:r>
        <w:rPr>
          <w:color w:val="000000"/>
          <w:sz w:val="20"/>
          <w:szCs w:val="20"/>
        </w:rPr>
        <w:t xml:space="preserve">R. </w:t>
      </w:r>
      <w:proofErr w:type="spellStart"/>
      <w:r w:rsidRPr="00131698">
        <w:rPr>
          <w:color w:val="000000"/>
          <w:sz w:val="20"/>
          <w:szCs w:val="20"/>
        </w:rPr>
        <w:t>Harawa</w:t>
      </w:r>
      <w:proofErr w:type="spellEnd"/>
      <w:r w:rsidRPr="00131698">
        <w:rPr>
          <w:color w:val="000000"/>
          <w:sz w:val="20"/>
          <w:szCs w:val="20"/>
        </w:rPr>
        <w:t xml:space="preserve">, </w:t>
      </w:r>
      <w:r>
        <w:rPr>
          <w:color w:val="000000"/>
          <w:sz w:val="20"/>
          <w:szCs w:val="20"/>
        </w:rPr>
        <w:t>P.</w:t>
      </w:r>
      <w:r w:rsidRPr="00131698">
        <w:rPr>
          <w:color w:val="000000"/>
          <w:sz w:val="20"/>
          <w:szCs w:val="20"/>
        </w:rPr>
        <w:t xml:space="preserve"> </w:t>
      </w:r>
      <w:proofErr w:type="spellStart"/>
      <w:r w:rsidRPr="00131698">
        <w:rPr>
          <w:color w:val="000000"/>
          <w:sz w:val="20"/>
          <w:szCs w:val="20"/>
        </w:rPr>
        <w:t>Nkhoma</w:t>
      </w:r>
      <w:proofErr w:type="spellEnd"/>
      <w:r w:rsidRPr="00131698">
        <w:rPr>
          <w:color w:val="000000"/>
          <w:sz w:val="20"/>
          <w:szCs w:val="20"/>
        </w:rPr>
        <w:t xml:space="preserve">, </w:t>
      </w:r>
      <w:r>
        <w:rPr>
          <w:color w:val="000000"/>
          <w:sz w:val="20"/>
          <w:szCs w:val="20"/>
        </w:rPr>
        <w:t>C.</w:t>
      </w:r>
      <w:r w:rsidRPr="00131698">
        <w:rPr>
          <w:color w:val="000000"/>
          <w:sz w:val="20"/>
          <w:szCs w:val="20"/>
        </w:rPr>
        <w:t xml:space="preserve"> </w:t>
      </w:r>
      <w:r w:rsidRPr="00131698">
        <w:rPr>
          <w:noProof/>
          <w:color w:val="000000"/>
          <w:sz w:val="20"/>
          <w:szCs w:val="20"/>
        </w:rPr>
        <w:t>Zamba</w:t>
      </w:r>
      <w:r w:rsidRPr="00131698">
        <w:rPr>
          <w:color w:val="000000"/>
          <w:sz w:val="20"/>
          <w:szCs w:val="20"/>
        </w:rPr>
        <w:t xml:space="preserve">, </w:t>
      </w:r>
      <w:r>
        <w:rPr>
          <w:color w:val="000000"/>
          <w:sz w:val="20"/>
          <w:szCs w:val="20"/>
        </w:rPr>
        <w:t>C.</w:t>
      </w:r>
      <w:r w:rsidRPr="00131698">
        <w:rPr>
          <w:color w:val="000000"/>
          <w:sz w:val="20"/>
          <w:szCs w:val="20"/>
        </w:rPr>
        <w:t xml:space="preserve"> Banda, C. </w:t>
      </w:r>
      <w:proofErr w:type="spellStart"/>
      <w:r w:rsidRPr="00131698">
        <w:rPr>
          <w:color w:val="000000"/>
          <w:sz w:val="20"/>
          <w:szCs w:val="20"/>
        </w:rPr>
        <w:t>Magombo</w:t>
      </w:r>
      <w:proofErr w:type="spellEnd"/>
      <w:r w:rsidRPr="00131698">
        <w:rPr>
          <w:color w:val="000000"/>
          <w:sz w:val="20"/>
          <w:szCs w:val="20"/>
        </w:rPr>
        <w:t xml:space="preserve">, </w:t>
      </w:r>
      <w:r>
        <w:rPr>
          <w:color w:val="000000"/>
          <w:sz w:val="20"/>
          <w:szCs w:val="20"/>
        </w:rPr>
        <w:t>M.</w:t>
      </w:r>
      <w:r w:rsidRPr="00131698">
        <w:rPr>
          <w:color w:val="000000"/>
          <w:sz w:val="20"/>
          <w:szCs w:val="20"/>
        </w:rPr>
        <w:t xml:space="preserve"> Keating, </w:t>
      </w:r>
      <w:r>
        <w:rPr>
          <w:color w:val="000000"/>
          <w:sz w:val="20"/>
          <w:szCs w:val="20"/>
        </w:rPr>
        <w:t xml:space="preserve">J. </w:t>
      </w:r>
      <w:r w:rsidRPr="00131698">
        <w:rPr>
          <w:noProof/>
          <w:color w:val="000000"/>
          <w:sz w:val="20"/>
          <w:szCs w:val="20"/>
        </w:rPr>
        <w:t>Wangila</w:t>
      </w:r>
      <w:r w:rsidRPr="00131698">
        <w:rPr>
          <w:color w:val="000000"/>
          <w:sz w:val="20"/>
          <w:szCs w:val="20"/>
        </w:rPr>
        <w:t xml:space="preserve">, </w:t>
      </w:r>
      <w:r>
        <w:rPr>
          <w:color w:val="000000"/>
          <w:sz w:val="20"/>
          <w:szCs w:val="20"/>
        </w:rPr>
        <w:t xml:space="preserve">J. </w:t>
      </w:r>
      <w:r w:rsidRPr="00131698">
        <w:rPr>
          <w:noProof/>
          <w:color w:val="000000"/>
          <w:sz w:val="20"/>
          <w:szCs w:val="20"/>
        </w:rPr>
        <w:t>Sachs</w:t>
      </w:r>
      <w:r w:rsidRPr="00131698">
        <w:rPr>
          <w:color w:val="000000"/>
          <w:sz w:val="20"/>
          <w:szCs w:val="20"/>
        </w:rPr>
        <w:t xml:space="preserve">, 2009. Input subsidies to improve smallholder maize productivity in Malawi: Toward an African green revolution. </w:t>
      </w:r>
      <w:proofErr w:type="spellStart"/>
      <w:r w:rsidRPr="00131698">
        <w:rPr>
          <w:i/>
          <w:color w:val="000000"/>
          <w:sz w:val="20"/>
          <w:szCs w:val="20"/>
        </w:rPr>
        <w:t>Plos</w:t>
      </w:r>
      <w:proofErr w:type="spellEnd"/>
      <w:r w:rsidRPr="00131698">
        <w:rPr>
          <w:i/>
          <w:color w:val="000000"/>
          <w:sz w:val="20"/>
          <w:szCs w:val="20"/>
        </w:rPr>
        <w:t xml:space="preserve"> Biol</w:t>
      </w:r>
      <w:r w:rsidRPr="00131698">
        <w:rPr>
          <w:color w:val="000000"/>
          <w:sz w:val="20"/>
          <w:szCs w:val="20"/>
        </w:rPr>
        <w:t>. 7(1), 0002–0010.</w:t>
      </w:r>
    </w:p>
    <w:p w:rsidR="00BD6EF7" w:rsidRPr="00131698" w:rsidRDefault="00BD6EF7" w:rsidP="00BD6EF7">
      <w:pPr>
        <w:tabs>
          <w:tab w:val="left" w:pos="360"/>
        </w:tabs>
        <w:ind w:left="-90" w:right="-256" w:hanging="270"/>
        <w:jc w:val="both"/>
        <w:rPr>
          <w:color w:val="000000"/>
          <w:sz w:val="20"/>
          <w:szCs w:val="20"/>
        </w:rPr>
      </w:pPr>
      <w:r w:rsidRPr="00131698">
        <w:rPr>
          <w:color w:val="000000"/>
          <w:sz w:val="20"/>
          <w:szCs w:val="20"/>
        </w:rPr>
        <w:t>Doss, C. R.</w:t>
      </w:r>
      <w:r>
        <w:rPr>
          <w:color w:val="000000"/>
          <w:sz w:val="20"/>
          <w:szCs w:val="20"/>
        </w:rPr>
        <w:t>,</w:t>
      </w:r>
      <w:r w:rsidRPr="00131698">
        <w:rPr>
          <w:color w:val="000000"/>
          <w:sz w:val="20"/>
          <w:szCs w:val="20"/>
        </w:rPr>
        <w:t xml:space="preserve"> 2001. </w:t>
      </w:r>
      <w:r w:rsidRPr="00131698">
        <w:rPr>
          <w:noProof/>
          <w:color w:val="000000"/>
          <w:sz w:val="20"/>
          <w:szCs w:val="20"/>
        </w:rPr>
        <w:t>Designing agricultural technology for African women farmers: Lessons from 25 years of experience.</w:t>
      </w:r>
      <w:r w:rsidRPr="00131698">
        <w:rPr>
          <w:color w:val="000000"/>
          <w:sz w:val="20"/>
          <w:szCs w:val="20"/>
        </w:rPr>
        <w:t xml:space="preserve"> </w:t>
      </w:r>
      <w:r w:rsidRPr="00131698">
        <w:rPr>
          <w:i/>
          <w:color w:val="000000"/>
          <w:sz w:val="20"/>
          <w:szCs w:val="20"/>
        </w:rPr>
        <w:t>World Development</w:t>
      </w:r>
      <w:r w:rsidRPr="00131698">
        <w:rPr>
          <w:color w:val="000000"/>
          <w:sz w:val="20"/>
          <w:szCs w:val="20"/>
        </w:rPr>
        <w:t xml:space="preserve"> </w:t>
      </w:r>
      <w:r w:rsidRPr="0009752C">
        <w:rPr>
          <w:color w:val="000000"/>
          <w:sz w:val="20"/>
          <w:szCs w:val="20"/>
        </w:rPr>
        <w:t>29</w:t>
      </w:r>
      <w:r w:rsidRPr="00131698">
        <w:rPr>
          <w:b/>
          <w:color w:val="000000"/>
          <w:sz w:val="20"/>
          <w:szCs w:val="20"/>
        </w:rPr>
        <w:t>,</w:t>
      </w:r>
      <w:r w:rsidRPr="00131698">
        <w:rPr>
          <w:color w:val="000000"/>
          <w:sz w:val="20"/>
          <w:szCs w:val="20"/>
        </w:rPr>
        <w:t xml:space="preserve"> 2075-2092.</w:t>
      </w:r>
    </w:p>
    <w:p w:rsidR="00BD6EF7" w:rsidRPr="00131698" w:rsidRDefault="00BD6EF7" w:rsidP="00BD6EF7">
      <w:pPr>
        <w:tabs>
          <w:tab w:val="left" w:pos="360"/>
        </w:tabs>
        <w:ind w:left="-90" w:right="-256" w:hanging="270"/>
        <w:jc w:val="both"/>
        <w:rPr>
          <w:color w:val="000000"/>
          <w:sz w:val="20"/>
          <w:szCs w:val="20"/>
        </w:rPr>
      </w:pPr>
      <w:r w:rsidRPr="00131698">
        <w:rPr>
          <w:rStyle w:val="cit-surname"/>
          <w:color w:val="000000"/>
          <w:sz w:val="20"/>
          <w:szCs w:val="20"/>
        </w:rPr>
        <w:t>Grabowski</w:t>
      </w:r>
      <w:r w:rsidRPr="00131698">
        <w:rPr>
          <w:rStyle w:val="cit-name"/>
          <w:color w:val="000000"/>
          <w:sz w:val="20"/>
          <w:szCs w:val="20"/>
        </w:rPr>
        <w:t>, P.P.,</w:t>
      </w:r>
      <w:r w:rsidRPr="00131698">
        <w:rPr>
          <w:color w:val="000000"/>
          <w:sz w:val="20"/>
          <w:szCs w:val="20"/>
        </w:rPr>
        <w:t xml:space="preserve"> </w:t>
      </w:r>
      <w:r w:rsidRPr="00131698">
        <w:rPr>
          <w:rStyle w:val="cit-given-names"/>
          <w:color w:val="000000"/>
          <w:sz w:val="20"/>
          <w:szCs w:val="20"/>
        </w:rPr>
        <w:t>S.</w:t>
      </w:r>
      <w:r w:rsidRPr="00131698">
        <w:rPr>
          <w:rStyle w:val="cit-name"/>
          <w:color w:val="000000"/>
          <w:sz w:val="20"/>
          <w:szCs w:val="20"/>
        </w:rPr>
        <w:t xml:space="preserve"> </w:t>
      </w:r>
      <w:proofErr w:type="spellStart"/>
      <w:r w:rsidRPr="00131698">
        <w:rPr>
          <w:rStyle w:val="cit-surname"/>
          <w:color w:val="000000"/>
          <w:sz w:val="20"/>
          <w:szCs w:val="20"/>
        </w:rPr>
        <w:t>Haggblade</w:t>
      </w:r>
      <w:proofErr w:type="spellEnd"/>
      <w:r w:rsidRPr="00131698">
        <w:rPr>
          <w:rStyle w:val="cit-name"/>
          <w:color w:val="000000"/>
          <w:sz w:val="20"/>
          <w:szCs w:val="20"/>
        </w:rPr>
        <w:t xml:space="preserve"> </w:t>
      </w:r>
      <w:r w:rsidRPr="00131698">
        <w:rPr>
          <w:rStyle w:val="cit-given-names"/>
          <w:color w:val="000000"/>
          <w:sz w:val="20"/>
          <w:szCs w:val="20"/>
        </w:rPr>
        <w:t>S.</w:t>
      </w:r>
      <w:r w:rsidRPr="00131698">
        <w:rPr>
          <w:rStyle w:val="cit-name"/>
          <w:color w:val="000000"/>
          <w:sz w:val="20"/>
          <w:szCs w:val="20"/>
        </w:rPr>
        <w:t xml:space="preserve"> </w:t>
      </w:r>
      <w:proofErr w:type="spellStart"/>
      <w:r w:rsidRPr="00131698">
        <w:rPr>
          <w:rStyle w:val="cit-surname"/>
          <w:color w:val="000000"/>
          <w:sz w:val="20"/>
          <w:szCs w:val="20"/>
        </w:rPr>
        <w:t>Kabwe</w:t>
      </w:r>
      <w:proofErr w:type="spellEnd"/>
      <w:r w:rsidRPr="00131698">
        <w:rPr>
          <w:rStyle w:val="cit-name"/>
          <w:color w:val="000000"/>
          <w:sz w:val="20"/>
          <w:szCs w:val="20"/>
        </w:rPr>
        <w:t xml:space="preserve"> </w:t>
      </w:r>
      <w:r w:rsidRPr="00131698">
        <w:rPr>
          <w:color w:val="000000"/>
          <w:sz w:val="20"/>
          <w:szCs w:val="20"/>
        </w:rPr>
        <w:t xml:space="preserve">and </w:t>
      </w:r>
      <w:r w:rsidRPr="00131698">
        <w:rPr>
          <w:rStyle w:val="cit-given-names"/>
          <w:color w:val="000000"/>
          <w:sz w:val="20"/>
          <w:szCs w:val="20"/>
        </w:rPr>
        <w:t>G.</w:t>
      </w:r>
      <w:r w:rsidRPr="00131698">
        <w:rPr>
          <w:rStyle w:val="cit-name"/>
          <w:color w:val="000000"/>
          <w:sz w:val="20"/>
          <w:szCs w:val="20"/>
        </w:rPr>
        <w:t xml:space="preserve"> </w:t>
      </w:r>
      <w:proofErr w:type="spellStart"/>
      <w:r w:rsidRPr="00131698">
        <w:rPr>
          <w:rStyle w:val="cit-surname"/>
          <w:color w:val="000000"/>
          <w:sz w:val="20"/>
          <w:szCs w:val="20"/>
        </w:rPr>
        <w:t>Tembo</w:t>
      </w:r>
      <w:proofErr w:type="spellEnd"/>
      <w:r>
        <w:rPr>
          <w:rStyle w:val="cit-surname"/>
          <w:color w:val="000000"/>
          <w:sz w:val="20"/>
          <w:szCs w:val="20"/>
        </w:rPr>
        <w:t>,</w:t>
      </w:r>
      <w:r w:rsidRPr="00131698">
        <w:rPr>
          <w:rStyle w:val="cit-name"/>
          <w:color w:val="000000"/>
          <w:sz w:val="20"/>
          <w:szCs w:val="20"/>
        </w:rPr>
        <w:t xml:space="preserve"> </w:t>
      </w:r>
      <w:r w:rsidRPr="00131698">
        <w:rPr>
          <w:rStyle w:val="cit-year"/>
          <w:color w:val="000000"/>
          <w:sz w:val="20"/>
          <w:szCs w:val="20"/>
        </w:rPr>
        <w:t>2014</w:t>
      </w:r>
      <w:r w:rsidRPr="00131698">
        <w:rPr>
          <w:color w:val="000000"/>
          <w:sz w:val="20"/>
          <w:szCs w:val="20"/>
        </w:rPr>
        <w:t xml:space="preserve">. </w:t>
      </w:r>
      <w:r w:rsidRPr="00131698">
        <w:rPr>
          <w:rStyle w:val="cit-article-title"/>
          <w:color w:val="000000"/>
          <w:sz w:val="20"/>
          <w:szCs w:val="20"/>
        </w:rPr>
        <w:t>Minimum tillage adoption among commercial smallholder cotton farmers in Zambia, 2002 to 2011</w:t>
      </w:r>
      <w:r w:rsidRPr="00131698">
        <w:rPr>
          <w:color w:val="000000"/>
          <w:sz w:val="20"/>
          <w:szCs w:val="20"/>
        </w:rPr>
        <w:t xml:space="preserve">. </w:t>
      </w:r>
      <w:r w:rsidRPr="00131698">
        <w:rPr>
          <w:rStyle w:val="cit-source"/>
          <w:color w:val="000000"/>
          <w:sz w:val="20"/>
          <w:szCs w:val="20"/>
        </w:rPr>
        <w:t>Agricultural Systems</w:t>
      </w:r>
      <w:r w:rsidRPr="00131698">
        <w:rPr>
          <w:color w:val="000000"/>
          <w:sz w:val="20"/>
          <w:szCs w:val="20"/>
        </w:rPr>
        <w:t xml:space="preserve"> </w:t>
      </w:r>
      <w:r w:rsidRPr="00131698">
        <w:rPr>
          <w:rStyle w:val="cit-volume"/>
          <w:color w:val="000000"/>
          <w:sz w:val="20"/>
          <w:szCs w:val="20"/>
        </w:rPr>
        <w:t>131</w:t>
      </w:r>
      <w:r w:rsidRPr="00131698">
        <w:rPr>
          <w:color w:val="000000"/>
          <w:sz w:val="20"/>
          <w:szCs w:val="20"/>
        </w:rPr>
        <w:t>:</w:t>
      </w:r>
      <w:r w:rsidRPr="00131698">
        <w:rPr>
          <w:rStyle w:val="cit-fpage"/>
          <w:color w:val="000000"/>
          <w:sz w:val="20"/>
          <w:szCs w:val="20"/>
        </w:rPr>
        <w:t>34</w:t>
      </w:r>
      <w:r w:rsidRPr="00131698">
        <w:rPr>
          <w:color w:val="000000"/>
          <w:sz w:val="20"/>
          <w:szCs w:val="20"/>
        </w:rPr>
        <w:t>–</w:t>
      </w:r>
      <w:r w:rsidRPr="00131698">
        <w:rPr>
          <w:rStyle w:val="cit-lpage"/>
          <w:color w:val="000000"/>
          <w:sz w:val="20"/>
          <w:szCs w:val="20"/>
        </w:rPr>
        <w:t>44</w:t>
      </w:r>
      <w:r w:rsidRPr="00131698">
        <w:rPr>
          <w:color w:val="000000"/>
          <w:sz w:val="20"/>
          <w:szCs w:val="20"/>
        </w:rPr>
        <w:t>.</w:t>
      </w:r>
    </w:p>
    <w:p w:rsidR="00BD6EF7" w:rsidRPr="00131698" w:rsidRDefault="00BD6EF7" w:rsidP="00BD6EF7">
      <w:pPr>
        <w:tabs>
          <w:tab w:val="left" w:pos="360"/>
        </w:tabs>
        <w:autoSpaceDE w:val="0"/>
        <w:autoSpaceDN w:val="0"/>
        <w:adjustRightInd w:val="0"/>
        <w:ind w:left="-90" w:right="-256" w:hanging="270"/>
        <w:jc w:val="both"/>
        <w:rPr>
          <w:color w:val="000000"/>
          <w:sz w:val="20"/>
          <w:szCs w:val="20"/>
        </w:rPr>
      </w:pPr>
      <w:proofErr w:type="spellStart"/>
      <w:r w:rsidRPr="00131698">
        <w:rPr>
          <w:color w:val="000000"/>
          <w:sz w:val="20"/>
          <w:szCs w:val="20"/>
        </w:rPr>
        <w:t>Ogunwole</w:t>
      </w:r>
      <w:proofErr w:type="spellEnd"/>
      <w:r w:rsidRPr="00131698">
        <w:rPr>
          <w:color w:val="000000"/>
          <w:sz w:val="20"/>
          <w:szCs w:val="20"/>
        </w:rPr>
        <w:t>, J. O.</w:t>
      </w:r>
      <w:r w:rsidR="00F05198">
        <w:rPr>
          <w:color w:val="000000"/>
          <w:sz w:val="20"/>
          <w:szCs w:val="20"/>
        </w:rPr>
        <w:t>,</w:t>
      </w:r>
      <w:r w:rsidRPr="00131698">
        <w:rPr>
          <w:color w:val="000000"/>
          <w:sz w:val="20"/>
          <w:szCs w:val="20"/>
        </w:rPr>
        <w:t xml:space="preserve"> 2008</w:t>
      </w:r>
      <w:r w:rsidR="00F05198">
        <w:rPr>
          <w:color w:val="000000"/>
          <w:sz w:val="20"/>
          <w:szCs w:val="20"/>
        </w:rPr>
        <w:t>.</w:t>
      </w:r>
      <w:r w:rsidRPr="00131698">
        <w:rPr>
          <w:color w:val="000000"/>
          <w:sz w:val="20"/>
          <w:szCs w:val="20"/>
        </w:rPr>
        <w:t xml:space="preserve"> Soil aggregate characteristics and organic carbon concentration after 45</w:t>
      </w:r>
      <w:r w:rsidRPr="00131698">
        <w:rPr>
          <w:noProof/>
          <w:color w:val="000000"/>
          <w:sz w:val="20"/>
          <w:szCs w:val="20"/>
        </w:rPr>
        <w:t>annual</w:t>
      </w:r>
      <w:r w:rsidRPr="00131698">
        <w:rPr>
          <w:color w:val="000000"/>
          <w:sz w:val="20"/>
          <w:szCs w:val="20"/>
        </w:rPr>
        <w:t xml:space="preserve"> applications of manure and inorganic fertilizer. Biol. Agric. </w:t>
      </w:r>
      <w:proofErr w:type="spellStart"/>
      <w:r w:rsidRPr="00131698">
        <w:rPr>
          <w:color w:val="000000"/>
          <w:sz w:val="20"/>
          <w:szCs w:val="20"/>
        </w:rPr>
        <w:t>Hortic</w:t>
      </w:r>
      <w:proofErr w:type="spellEnd"/>
      <w:r w:rsidRPr="00131698">
        <w:rPr>
          <w:color w:val="000000"/>
          <w:sz w:val="20"/>
          <w:szCs w:val="20"/>
        </w:rPr>
        <w:t>. 25, 223–233.</w:t>
      </w:r>
    </w:p>
    <w:p w:rsidR="00BD6EF7" w:rsidRPr="00131698" w:rsidRDefault="00BD6EF7" w:rsidP="00BD6EF7">
      <w:pPr>
        <w:tabs>
          <w:tab w:val="left" w:pos="360"/>
        </w:tabs>
        <w:autoSpaceDE w:val="0"/>
        <w:autoSpaceDN w:val="0"/>
        <w:adjustRightInd w:val="0"/>
        <w:ind w:left="-90" w:right="-256" w:hanging="270"/>
        <w:jc w:val="both"/>
        <w:rPr>
          <w:color w:val="000000"/>
          <w:sz w:val="20"/>
          <w:szCs w:val="20"/>
        </w:rPr>
      </w:pPr>
      <w:r w:rsidRPr="00131698">
        <w:rPr>
          <w:color w:val="000000"/>
          <w:sz w:val="20"/>
          <w:szCs w:val="20"/>
        </w:rPr>
        <w:t xml:space="preserve">Rusinamhodzi, L., S. </w:t>
      </w:r>
      <w:proofErr w:type="spellStart"/>
      <w:r w:rsidRPr="00131698">
        <w:rPr>
          <w:color w:val="000000"/>
          <w:sz w:val="20"/>
          <w:szCs w:val="20"/>
        </w:rPr>
        <w:t>Dahlin</w:t>
      </w:r>
      <w:proofErr w:type="spellEnd"/>
      <w:r w:rsidRPr="00131698">
        <w:rPr>
          <w:color w:val="000000"/>
          <w:sz w:val="20"/>
          <w:szCs w:val="20"/>
        </w:rPr>
        <w:t xml:space="preserve">, and M. </w:t>
      </w:r>
      <w:proofErr w:type="spellStart"/>
      <w:r w:rsidRPr="00131698">
        <w:rPr>
          <w:color w:val="000000"/>
          <w:sz w:val="20"/>
          <w:szCs w:val="20"/>
        </w:rPr>
        <w:t>Corbeels</w:t>
      </w:r>
      <w:proofErr w:type="spellEnd"/>
      <w:r w:rsidRPr="00131698">
        <w:rPr>
          <w:color w:val="000000"/>
          <w:sz w:val="20"/>
          <w:szCs w:val="20"/>
        </w:rPr>
        <w:t xml:space="preserve">. 2016. Living within their means: reallocation of farm resources can help smallholder farmers improve crop yields and soil fertility. Agric. </w:t>
      </w:r>
      <w:proofErr w:type="spellStart"/>
      <w:r w:rsidRPr="00131698">
        <w:rPr>
          <w:color w:val="000000"/>
          <w:sz w:val="20"/>
          <w:szCs w:val="20"/>
        </w:rPr>
        <w:t>Ecosyst</w:t>
      </w:r>
      <w:proofErr w:type="spellEnd"/>
      <w:r w:rsidRPr="00131698">
        <w:rPr>
          <w:color w:val="000000"/>
          <w:sz w:val="20"/>
          <w:szCs w:val="20"/>
        </w:rPr>
        <w:t xml:space="preserve"> and Environment. 216:125-136.</w:t>
      </w:r>
    </w:p>
    <w:p w:rsidR="00BD6EF7" w:rsidRPr="00131698" w:rsidRDefault="00BD6EF7" w:rsidP="00BD6EF7">
      <w:pPr>
        <w:tabs>
          <w:tab w:val="left" w:pos="360"/>
        </w:tabs>
        <w:ind w:left="-90" w:right="-256" w:hanging="270"/>
        <w:jc w:val="both"/>
        <w:rPr>
          <w:rStyle w:val="Hyperlink"/>
          <w:color w:val="000000"/>
          <w:sz w:val="20"/>
          <w:szCs w:val="20"/>
        </w:rPr>
      </w:pPr>
      <w:r>
        <w:rPr>
          <w:color w:val="000000"/>
          <w:sz w:val="20"/>
          <w:szCs w:val="20"/>
        </w:rPr>
        <w:t xml:space="preserve">Snapp, S., </w:t>
      </w:r>
      <w:r w:rsidRPr="00131698">
        <w:rPr>
          <w:color w:val="000000"/>
          <w:sz w:val="20"/>
          <w:szCs w:val="20"/>
        </w:rPr>
        <w:t>G.</w:t>
      </w:r>
      <w:r>
        <w:rPr>
          <w:color w:val="000000"/>
          <w:sz w:val="20"/>
          <w:szCs w:val="20"/>
        </w:rPr>
        <w:t xml:space="preserve"> </w:t>
      </w:r>
      <w:proofErr w:type="spellStart"/>
      <w:r>
        <w:rPr>
          <w:color w:val="000000"/>
          <w:sz w:val="20"/>
          <w:szCs w:val="20"/>
        </w:rPr>
        <w:t>Kanyama-Phiri</w:t>
      </w:r>
      <w:proofErr w:type="spellEnd"/>
      <w:r w:rsidRPr="00131698">
        <w:rPr>
          <w:color w:val="000000"/>
          <w:sz w:val="20"/>
          <w:szCs w:val="20"/>
        </w:rPr>
        <w:t>,</w:t>
      </w:r>
      <w:r>
        <w:rPr>
          <w:color w:val="000000"/>
          <w:sz w:val="20"/>
          <w:szCs w:val="20"/>
        </w:rPr>
        <w:t xml:space="preserve"> </w:t>
      </w:r>
      <w:r w:rsidRPr="00131698">
        <w:rPr>
          <w:color w:val="000000"/>
          <w:sz w:val="20"/>
          <w:szCs w:val="20"/>
        </w:rPr>
        <w:t xml:space="preserve">B. </w:t>
      </w:r>
      <w:proofErr w:type="spellStart"/>
      <w:r w:rsidRPr="00131698">
        <w:rPr>
          <w:color w:val="000000"/>
          <w:sz w:val="20"/>
          <w:szCs w:val="20"/>
        </w:rPr>
        <w:t>Kamanga</w:t>
      </w:r>
      <w:proofErr w:type="spellEnd"/>
      <w:r w:rsidRPr="00131698">
        <w:rPr>
          <w:color w:val="000000"/>
          <w:sz w:val="20"/>
          <w:szCs w:val="20"/>
        </w:rPr>
        <w:t xml:space="preserve">, </w:t>
      </w:r>
      <w:r>
        <w:rPr>
          <w:color w:val="000000"/>
          <w:sz w:val="20"/>
          <w:szCs w:val="20"/>
        </w:rPr>
        <w:t xml:space="preserve">R. </w:t>
      </w:r>
      <w:r w:rsidRPr="00131698">
        <w:rPr>
          <w:color w:val="000000"/>
          <w:sz w:val="20"/>
          <w:szCs w:val="20"/>
        </w:rPr>
        <w:t xml:space="preserve">Gilbert, and </w:t>
      </w:r>
      <w:r>
        <w:rPr>
          <w:color w:val="000000"/>
          <w:sz w:val="20"/>
          <w:szCs w:val="20"/>
        </w:rPr>
        <w:t xml:space="preserve">K. </w:t>
      </w:r>
      <w:proofErr w:type="spellStart"/>
      <w:r>
        <w:rPr>
          <w:color w:val="000000"/>
          <w:sz w:val="20"/>
          <w:szCs w:val="20"/>
        </w:rPr>
        <w:t>Wellard</w:t>
      </w:r>
      <w:proofErr w:type="spellEnd"/>
      <w:r>
        <w:rPr>
          <w:color w:val="000000"/>
          <w:sz w:val="20"/>
          <w:szCs w:val="20"/>
        </w:rPr>
        <w:t>,</w:t>
      </w:r>
      <w:r w:rsidRPr="00131698">
        <w:rPr>
          <w:color w:val="000000"/>
          <w:sz w:val="20"/>
          <w:szCs w:val="20"/>
        </w:rPr>
        <w:t xml:space="preserve"> 2002a. Farmer and researcher partnerships in Malawi: developing soil fertility technologies for the near-term and far-term. Experimental </w:t>
      </w:r>
      <w:r w:rsidRPr="00131698">
        <w:rPr>
          <w:noProof/>
          <w:color w:val="000000"/>
          <w:sz w:val="20"/>
          <w:szCs w:val="20"/>
        </w:rPr>
        <w:t>agriculture</w:t>
      </w:r>
      <w:r w:rsidRPr="00131698">
        <w:rPr>
          <w:color w:val="000000"/>
          <w:sz w:val="20"/>
          <w:szCs w:val="20"/>
        </w:rPr>
        <w:t xml:space="preserve">, 38(04), 411-431. </w:t>
      </w:r>
      <w:proofErr w:type="spellStart"/>
      <w:proofErr w:type="gramStart"/>
      <w:r w:rsidRPr="00131698">
        <w:rPr>
          <w:color w:val="000000"/>
          <w:sz w:val="20"/>
          <w:szCs w:val="20"/>
        </w:rPr>
        <w:t>doi</w:t>
      </w:r>
      <w:proofErr w:type="spellEnd"/>
      <w:proofErr w:type="gramEnd"/>
      <w:r w:rsidRPr="00131698">
        <w:rPr>
          <w:color w:val="000000"/>
          <w:sz w:val="20"/>
          <w:szCs w:val="20"/>
        </w:rPr>
        <w:t xml:space="preserve">: </w:t>
      </w:r>
      <w:hyperlink r:id="rId16" w:history="1">
        <w:r w:rsidRPr="0009752C">
          <w:rPr>
            <w:rStyle w:val="Hyperlink"/>
            <w:color w:val="000000"/>
            <w:sz w:val="20"/>
            <w:szCs w:val="20"/>
            <w:u w:val="none"/>
          </w:rPr>
          <w:t>http://dx.doi.org/10.1017/S0014479702000443</w:t>
        </w:r>
      </w:hyperlink>
    </w:p>
    <w:p w:rsidR="00BD6EF7" w:rsidRDefault="00BD6EF7" w:rsidP="00BD6EF7">
      <w:pPr>
        <w:tabs>
          <w:tab w:val="left" w:pos="360"/>
        </w:tabs>
        <w:ind w:left="-90" w:right="-256" w:hanging="270"/>
        <w:jc w:val="both"/>
        <w:rPr>
          <w:color w:val="000000"/>
          <w:sz w:val="20"/>
          <w:szCs w:val="20"/>
        </w:rPr>
      </w:pPr>
      <w:r w:rsidRPr="00131698">
        <w:rPr>
          <w:color w:val="000000"/>
          <w:sz w:val="20"/>
          <w:szCs w:val="20"/>
        </w:rPr>
        <w:t>Snapp,</w:t>
      </w:r>
      <w:r w:rsidR="00F05198">
        <w:rPr>
          <w:color w:val="000000"/>
          <w:sz w:val="20"/>
          <w:szCs w:val="20"/>
        </w:rPr>
        <w:t xml:space="preserve"> S.S., M.J. Blackie, C. Donovan,</w:t>
      </w:r>
      <w:r w:rsidRPr="00131698">
        <w:rPr>
          <w:color w:val="000000"/>
          <w:sz w:val="20"/>
          <w:szCs w:val="20"/>
        </w:rPr>
        <w:t xml:space="preserve"> 2003. Realigning research and extension services: experiences from southern Africa. </w:t>
      </w:r>
      <w:r w:rsidRPr="00131698">
        <w:rPr>
          <w:i/>
          <w:iCs/>
          <w:color w:val="000000"/>
          <w:sz w:val="20"/>
          <w:szCs w:val="20"/>
        </w:rPr>
        <w:t>Food Policy 28:349-363</w:t>
      </w:r>
    </w:p>
    <w:p w:rsidR="00BD03F4" w:rsidRPr="00BD6EF7" w:rsidRDefault="00BD6EF7" w:rsidP="00BD6EF7">
      <w:pPr>
        <w:tabs>
          <w:tab w:val="left" w:pos="360"/>
        </w:tabs>
        <w:ind w:left="-90" w:right="-256" w:hanging="270"/>
        <w:jc w:val="both"/>
        <w:rPr>
          <w:color w:val="000000"/>
          <w:sz w:val="20"/>
          <w:szCs w:val="20"/>
        </w:rPr>
      </w:pPr>
      <w:proofErr w:type="spellStart"/>
      <w:r w:rsidRPr="00131698">
        <w:rPr>
          <w:color w:val="000000"/>
          <w:sz w:val="20"/>
          <w:szCs w:val="20"/>
        </w:rPr>
        <w:t>Wellard</w:t>
      </w:r>
      <w:proofErr w:type="spellEnd"/>
      <w:r w:rsidRPr="00131698">
        <w:rPr>
          <w:color w:val="000000"/>
          <w:sz w:val="20"/>
          <w:szCs w:val="20"/>
        </w:rPr>
        <w:t xml:space="preserve">, K., </w:t>
      </w:r>
      <w:r>
        <w:rPr>
          <w:color w:val="000000"/>
          <w:sz w:val="20"/>
          <w:szCs w:val="20"/>
        </w:rPr>
        <w:t xml:space="preserve">J. </w:t>
      </w:r>
      <w:proofErr w:type="spellStart"/>
      <w:r w:rsidRPr="00131698">
        <w:rPr>
          <w:color w:val="000000"/>
          <w:sz w:val="20"/>
          <w:szCs w:val="20"/>
        </w:rPr>
        <w:t>Rafanomezana</w:t>
      </w:r>
      <w:proofErr w:type="spellEnd"/>
      <w:r w:rsidRPr="00131698">
        <w:rPr>
          <w:color w:val="000000"/>
          <w:sz w:val="20"/>
          <w:szCs w:val="20"/>
        </w:rPr>
        <w:t>,</w:t>
      </w:r>
      <w:r>
        <w:rPr>
          <w:color w:val="000000"/>
          <w:sz w:val="20"/>
          <w:szCs w:val="20"/>
        </w:rPr>
        <w:t xml:space="preserve"> M.</w:t>
      </w:r>
      <w:r w:rsidRPr="00131698">
        <w:rPr>
          <w:color w:val="000000"/>
          <w:sz w:val="20"/>
          <w:szCs w:val="20"/>
        </w:rPr>
        <w:t xml:space="preserve"> </w:t>
      </w:r>
      <w:proofErr w:type="spellStart"/>
      <w:r w:rsidRPr="00131698">
        <w:rPr>
          <w:color w:val="000000"/>
          <w:sz w:val="20"/>
          <w:szCs w:val="20"/>
        </w:rPr>
        <w:t>Nyirenda</w:t>
      </w:r>
      <w:proofErr w:type="spellEnd"/>
      <w:r w:rsidRPr="00131698">
        <w:rPr>
          <w:color w:val="000000"/>
          <w:sz w:val="20"/>
          <w:szCs w:val="20"/>
        </w:rPr>
        <w:t xml:space="preserve">, </w:t>
      </w:r>
      <w:r>
        <w:rPr>
          <w:color w:val="000000"/>
          <w:sz w:val="20"/>
          <w:szCs w:val="20"/>
        </w:rPr>
        <w:t>M.</w:t>
      </w:r>
      <w:r w:rsidRPr="00131698">
        <w:rPr>
          <w:color w:val="000000"/>
          <w:sz w:val="20"/>
          <w:szCs w:val="20"/>
        </w:rPr>
        <w:t xml:space="preserve"> </w:t>
      </w:r>
      <w:proofErr w:type="spellStart"/>
      <w:r w:rsidRPr="00131698">
        <w:rPr>
          <w:color w:val="000000"/>
          <w:sz w:val="20"/>
          <w:szCs w:val="20"/>
        </w:rPr>
        <w:t>Okotel</w:t>
      </w:r>
      <w:proofErr w:type="spellEnd"/>
      <w:r w:rsidRPr="00131698">
        <w:rPr>
          <w:color w:val="000000"/>
          <w:sz w:val="20"/>
          <w:szCs w:val="20"/>
        </w:rPr>
        <w:t xml:space="preserve"> and</w:t>
      </w:r>
      <w:r>
        <w:rPr>
          <w:color w:val="000000"/>
          <w:sz w:val="20"/>
          <w:szCs w:val="20"/>
        </w:rPr>
        <w:t xml:space="preserve"> V.  </w:t>
      </w:r>
      <w:proofErr w:type="spellStart"/>
      <w:r>
        <w:rPr>
          <w:color w:val="000000"/>
          <w:sz w:val="20"/>
          <w:szCs w:val="20"/>
        </w:rPr>
        <w:t>Subbey</w:t>
      </w:r>
      <w:proofErr w:type="spellEnd"/>
      <w:r>
        <w:rPr>
          <w:color w:val="000000"/>
          <w:sz w:val="20"/>
          <w:szCs w:val="20"/>
        </w:rPr>
        <w:t>,</w:t>
      </w:r>
      <w:r w:rsidRPr="00131698">
        <w:rPr>
          <w:color w:val="000000"/>
          <w:sz w:val="20"/>
          <w:szCs w:val="20"/>
        </w:rPr>
        <w:t xml:space="preserve"> 2013. A review of community extension approaches to innovation for improved livelihoods in Ghana, </w:t>
      </w:r>
      <w:r w:rsidRPr="00131698">
        <w:rPr>
          <w:noProof/>
          <w:color w:val="000000"/>
          <w:sz w:val="20"/>
          <w:szCs w:val="20"/>
        </w:rPr>
        <w:t>Uganda</w:t>
      </w:r>
      <w:r w:rsidRPr="00131698">
        <w:rPr>
          <w:color w:val="000000"/>
          <w:sz w:val="20"/>
          <w:szCs w:val="20"/>
        </w:rPr>
        <w:t xml:space="preserve"> </w:t>
      </w:r>
      <w:r w:rsidRPr="00131698">
        <w:rPr>
          <w:noProof/>
          <w:color w:val="000000"/>
          <w:sz w:val="20"/>
          <w:szCs w:val="20"/>
        </w:rPr>
        <w:t>and</w:t>
      </w:r>
      <w:r w:rsidRPr="00131698">
        <w:rPr>
          <w:color w:val="000000"/>
          <w:sz w:val="20"/>
          <w:szCs w:val="20"/>
        </w:rPr>
        <w:t xml:space="preserve"> Malawi. </w:t>
      </w:r>
      <w:r w:rsidRPr="00131698">
        <w:rPr>
          <w:i/>
          <w:iCs/>
          <w:color w:val="000000"/>
          <w:sz w:val="20"/>
          <w:szCs w:val="20"/>
        </w:rPr>
        <w:t>The Journal of Agricultural Education and Extension</w:t>
      </w:r>
      <w:r w:rsidRPr="00131698">
        <w:rPr>
          <w:color w:val="000000"/>
          <w:sz w:val="20"/>
          <w:szCs w:val="20"/>
        </w:rPr>
        <w:t xml:space="preserve">, </w:t>
      </w:r>
      <w:r w:rsidRPr="00131698">
        <w:rPr>
          <w:i/>
          <w:iCs/>
          <w:color w:val="000000"/>
          <w:sz w:val="20"/>
          <w:szCs w:val="20"/>
        </w:rPr>
        <w:t>19</w:t>
      </w:r>
      <w:r w:rsidRPr="00131698">
        <w:rPr>
          <w:color w:val="000000"/>
          <w:sz w:val="20"/>
          <w:szCs w:val="20"/>
        </w:rPr>
        <w:t>(1), pp.21-35.</w:t>
      </w:r>
    </w:p>
    <w:p w:rsidR="00BD03F4" w:rsidRPr="00131698" w:rsidRDefault="00BD03F4" w:rsidP="00BD03F4">
      <w:pPr>
        <w:ind w:left="-90"/>
        <w:jc w:val="both"/>
        <w:rPr>
          <w:b/>
          <w:caps/>
          <w:color w:val="000000"/>
          <w:sz w:val="20"/>
          <w:szCs w:val="20"/>
        </w:rPr>
      </w:pPr>
    </w:p>
    <w:p w:rsidR="00A160D2" w:rsidRPr="00131698" w:rsidRDefault="00E6344F" w:rsidP="00BD03F4">
      <w:pPr>
        <w:tabs>
          <w:tab w:val="left" w:pos="4140"/>
        </w:tabs>
        <w:ind w:left="-90" w:right="-209"/>
        <w:jc w:val="both"/>
        <w:rPr>
          <w:color w:val="000000"/>
        </w:rPr>
      </w:pPr>
      <w:r w:rsidRPr="00131698">
        <w:rPr>
          <w:b/>
          <w:caps/>
          <w:color w:val="000000"/>
          <w:sz w:val="20"/>
          <w:szCs w:val="20"/>
        </w:rPr>
        <w:lastRenderedPageBreak/>
        <w:t>Acknowledgments:</w:t>
      </w:r>
      <w:r w:rsidRPr="00131698">
        <w:rPr>
          <w:color w:val="000000"/>
          <w:sz w:val="20"/>
          <w:szCs w:val="20"/>
        </w:rPr>
        <w:t xml:space="preserve"> This </w:t>
      </w:r>
      <w:r w:rsidR="00482033" w:rsidRPr="00131698">
        <w:rPr>
          <w:color w:val="000000"/>
          <w:sz w:val="20"/>
          <w:szCs w:val="20"/>
        </w:rPr>
        <w:t>policy synthesis</w:t>
      </w:r>
      <w:r w:rsidRPr="00131698">
        <w:rPr>
          <w:color w:val="000000"/>
          <w:sz w:val="20"/>
          <w:szCs w:val="20"/>
        </w:rPr>
        <w:t xml:space="preserve"> is published with funding provided by the American people, </w:t>
      </w:r>
      <w:r w:rsidR="007B23DB">
        <w:rPr>
          <w:color w:val="000000"/>
          <w:sz w:val="20"/>
          <w:szCs w:val="20"/>
        </w:rPr>
        <w:t xml:space="preserve">through the </w:t>
      </w:r>
      <w:r w:rsidRPr="00131698">
        <w:rPr>
          <w:color w:val="000000"/>
          <w:sz w:val="20"/>
          <w:szCs w:val="20"/>
        </w:rPr>
        <w:t>United States Agency for International Development</w:t>
      </w:r>
      <w:r w:rsidR="007B23DB">
        <w:rPr>
          <w:color w:val="000000"/>
          <w:sz w:val="20"/>
          <w:szCs w:val="20"/>
        </w:rPr>
        <w:t xml:space="preserve"> support for the Malawi Strengthening Agriculture and Nutrition Extension (SANE) project and the </w:t>
      </w:r>
      <w:r w:rsidR="007B23DB" w:rsidRPr="00131698">
        <w:rPr>
          <w:color w:val="000000"/>
          <w:sz w:val="20"/>
          <w:szCs w:val="20"/>
        </w:rPr>
        <w:t>Food Security III Cooperative Agreement (GDGA-00-000021-00)</w:t>
      </w:r>
    </w:p>
    <w:sectPr w:rsidR="00A160D2" w:rsidRPr="00131698" w:rsidSect="007B23DB">
      <w:type w:val="continuous"/>
      <w:pgSz w:w="11909" w:h="16834" w:code="9"/>
      <w:pgMar w:top="990" w:right="1152" w:bottom="720" w:left="1152" w:header="720" w:footer="432" w:gutter="0"/>
      <w:cols w:num="2" w:space="534" w:equalWidth="0">
        <w:col w:w="4442" w:space="720"/>
        <w:col w:w="4201"/>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E0" w:rsidRDefault="005237E0">
      <w:r>
        <w:separator/>
      </w:r>
    </w:p>
  </w:endnote>
  <w:endnote w:type="continuationSeparator" w:id="0">
    <w:p w:rsidR="005237E0" w:rsidRDefault="0052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fornianFB Roman">
    <w:altName w:val="CalifornianFB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1" w:rsidRDefault="00BB1C21" w:rsidP="00E7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C21" w:rsidRDefault="00BB1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1" w:rsidRDefault="00BB1C21" w:rsidP="00361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A01">
      <w:rPr>
        <w:rStyle w:val="PageNumber"/>
        <w:noProof/>
      </w:rPr>
      <w:t>2</w:t>
    </w:r>
    <w:r>
      <w:rPr>
        <w:rStyle w:val="PageNumber"/>
      </w:rPr>
      <w:fldChar w:fldCharType="end"/>
    </w:r>
  </w:p>
  <w:p w:rsidR="00BB1C21" w:rsidRDefault="00BB1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E0" w:rsidRDefault="005237E0">
      <w:r>
        <w:separator/>
      </w:r>
    </w:p>
  </w:footnote>
  <w:footnote w:type="continuationSeparator" w:id="0">
    <w:p w:rsidR="005237E0" w:rsidRDefault="00523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309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F97145"/>
    <w:multiLevelType w:val="hybridMultilevel"/>
    <w:tmpl w:val="4978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F30611"/>
    <w:multiLevelType w:val="hybridMultilevel"/>
    <w:tmpl w:val="C3307B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E83735"/>
    <w:multiLevelType w:val="hybridMultilevel"/>
    <w:tmpl w:val="AF502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ney">
    <w15:presenceInfo w15:providerId="None" w15:userId="Rod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jAwNjcxMTUAAiUdpeDU4uLM/DyQAqNaAINjv+8sAAAA"/>
  </w:docVars>
  <w:rsids>
    <w:rsidRoot w:val="006B53A1"/>
    <w:rsid w:val="00077F76"/>
    <w:rsid w:val="00086C29"/>
    <w:rsid w:val="0009752C"/>
    <w:rsid w:val="000A2102"/>
    <w:rsid w:val="000B0F4E"/>
    <w:rsid w:val="00104100"/>
    <w:rsid w:val="00110DEA"/>
    <w:rsid w:val="00131698"/>
    <w:rsid w:val="0015486D"/>
    <w:rsid w:val="0016612B"/>
    <w:rsid w:val="001776C7"/>
    <w:rsid w:val="001B229D"/>
    <w:rsid w:val="001B7107"/>
    <w:rsid w:val="001F423F"/>
    <w:rsid w:val="001F5469"/>
    <w:rsid w:val="00211CC8"/>
    <w:rsid w:val="0021297D"/>
    <w:rsid w:val="00245D28"/>
    <w:rsid w:val="002627DD"/>
    <w:rsid w:val="00281C1E"/>
    <w:rsid w:val="002E2A0C"/>
    <w:rsid w:val="002F6572"/>
    <w:rsid w:val="00300DDD"/>
    <w:rsid w:val="00310628"/>
    <w:rsid w:val="00341268"/>
    <w:rsid w:val="0034493E"/>
    <w:rsid w:val="00344F63"/>
    <w:rsid w:val="00357E8B"/>
    <w:rsid w:val="00361A6C"/>
    <w:rsid w:val="00365077"/>
    <w:rsid w:val="0043727C"/>
    <w:rsid w:val="00460BCB"/>
    <w:rsid w:val="00461C3E"/>
    <w:rsid w:val="00482033"/>
    <w:rsid w:val="004E08CC"/>
    <w:rsid w:val="004E25D9"/>
    <w:rsid w:val="004F7957"/>
    <w:rsid w:val="005237E0"/>
    <w:rsid w:val="0053269C"/>
    <w:rsid w:val="00540E9E"/>
    <w:rsid w:val="00573B28"/>
    <w:rsid w:val="005823EC"/>
    <w:rsid w:val="00582E6C"/>
    <w:rsid w:val="00596726"/>
    <w:rsid w:val="005A3293"/>
    <w:rsid w:val="005C2FB1"/>
    <w:rsid w:val="005C491E"/>
    <w:rsid w:val="005C7DD5"/>
    <w:rsid w:val="005D51BC"/>
    <w:rsid w:val="005E3C9A"/>
    <w:rsid w:val="00616A07"/>
    <w:rsid w:val="00617030"/>
    <w:rsid w:val="0064379C"/>
    <w:rsid w:val="006451C4"/>
    <w:rsid w:val="006A1646"/>
    <w:rsid w:val="006B53A1"/>
    <w:rsid w:val="006E43BA"/>
    <w:rsid w:val="0070465B"/>
    <w:rsid w:val="007374BF"/>
    <w:rsid w:val="007426B8"/>
    <w:rsid w:val="00763440"/>
    <w:rsid w:val="00763C7E"/>
    <w:rsid w:val="007769D2"/>
    <w:rsid w:val="00776A2F"/>
    <w:rsid w:val="007B23DB"/>
    <w:rsid w:val="007E16C7"/>
    <w:rsid w:val="00803F37"/>
    <w:rsid w:val="0082379A"/>
    <w:rsid w:val="00840900"/>
    <w:rsid w:val="008535F0"/>
    <w:rsid w:val="00856DFB"/>
    <w:rsid w:val="0087789A"/>
    <w:rsid w:val="008C3442"/>
    <w:rsid w:val="008E540C"/>
    <w:rsid w:val="008F421F"/>
    <w:rsid w:val="00911120"/>
    <w:rsid w:val="00965ABE"/>
    <w:rsid w:val="00984379"/>
    <w:rsid w:val="009A0DB9"/>
    <w:rsid w:val="009A3E67"/>
    <w:rsid w:val="009C768C"/>
    <w:rsid w:val="00A160D2"/>
    <w:rsid w:val="00A24168"/>
    <w:rsid w:val="00A35107"/>
    <w:rsid w:val="00A577CE"/>
    <w:rsid w:val="00B02709"/>
    <w:rsid w:val="00B351B7"/>
    <w:rsid w:val="00B44DBD"/>
    <w:rsid w:val="00BB1C21"/>
    <w:rsid w:val="00BC0411"/>
    <w:rsid w:val="00BD03F4"/>
    <w:rsid w:val="00BD6EF7"/>
    <w:rsid w:val="00BE71CA"/>
    <w:rsid w:val="00C320F9"/>
    <w:rsid w:val="00C5550D"/>
    <w:rsid w:val="00C856DA"/>
    <w:rsid w:val="00C85E76"/>
    <w:rsid w:val="00C86B33"/>
    <w:rsid w:val="00C907C7"/>
    <w:rsid w:val="00CB5227"/>
    <w:rsid w:val="00CD3073"/>
    <w:rsid w:val="00D74993"/>
    <w:rsid w:val="00D919EA"/>
    <w:rsid w:val="00DC3716"/>
    <w:rsid w:val="00DE4E92"/>
    <w:rsid w:val="00E01F54"/>
    <w:rsid w:val="00E27E8A"/>
    <w:rsid w:val="00E442E6"/>
    <w:rsid w:val="00E51D1E"/>
    <w:rsid w:val="00E6344F"/>
    <w:rsid w:val="00E76315"/>
    <w:rsid w:val="00E924D3"/>
    <w:rsid w:val="00F05198"/>
    <w:rsid w:val="00F32CFC"/>
    <w:rsid w:val="00F34859"/>
    <w:rsid w:val="00F413A3"/>
    <w:rsid w:val="00F509C0"/>
    <w:rsid w:val="00F7753C"/>
    <w:rsid w:val="00F775E3"/>
    <w:rsid w:val="00F81F19"/>
    <w:rsid w:val="00F86BB5"/>
    <w:rsid w:val="00F96C50"/>
    <w:rsid w:val="00FB13B7"/>
    <w:rsid w:val="00FB2F77"/>
    <w:rsid w:val="00FD2A01"/>
    <w:rsid w:val="00FF0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3A1"/>
    <w:rPr>
      <w:sz w:val="24"/>
      <w:szCs w:val="24"/>
      <w:lang w:val="en-US" w:eastAsia="en-US"/>
    </w:rPr>
  </w:style>
  <w:style w:type="paragraph" w:styleId="Heading2">
    <w:name w:val="heading 2"/>
    <w:basedOn w:val="Normal"/>
    <w:next w:val="Normal"/>
    <w:link w:val="Heading2Char"/>
    <w:uiPriority w:val="9"/>
    <w:qFormat/>
    <w:rsid w:val="00617030"/>
    <w:pPr>
      <w:keepNext/>
      <w:keepLines/>
      <w:spacing w:before="40"/>
      <w:outlineLvl w:val="1"/>
    </w:pPr>
    <w:rPr>
      <w:rFonts w:ascii="Calibri Light" w:eastAsia="MS Gothic" w:hAnsi="Calibri Light"/>
      <w:color w:val="2E74B5"/>
      <w:sz w:val="26"/>
      <w:szCs w:val="26"/>
    </w:rPr>
  </w:style>
  <w:style w:type="paragraph" w:styleId="Heading3">
    <w:name w:val="heading 3"/>
    <w:basedOn w:val="Normal"/>
    <w:next w:val="Normal"/>
    <w:qFormat/>
    <w:rsid w:val="00300DDD"/>
    <w:pPr>
      <w:keepNext/>
      <w:spacing w:before="240" w:after="60"/>
      <w:outlineLvl w:val="2"/>
    </w:pPr>
    <w:rPr>
      <w:rFonts w:cs="Arial"/>
      <w:b/>
      <w:bCs/>
      <w:sz w:val="26"/>
      <w:szCs w:val="26"/>
    </w:rPr>
  </w:style>
  <w:style w:type="paragraph" w:styleId="Heading4">
    <w:name w:val="heading 4"/>
    <w:basedOn w:val="Normal"/>
    <w:next w:val="Normal"/>
    <w:qFormat/>
    <w:rsid w:val="00300D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442E6"/>
    <w:rPr>
      <w:caps/>
    </w:rPr>
  </w:style>
  <w:style w:type="character" w:styleId="Hyperlink">
    <w:name w:val="Hyperlink"/>
    <w:rsid w:val="006B53A1"/>
    <w:rPr>
      <w:color w:val="0000FF"/>
      <w:u w:val="single"/>
    </w:rPr>
  </w:style>
  <w:style w:type="table" w:styleId="TableGrid">
    <w:name w:val="Table Grid"/>
    <w:basedOn w:val="TableNormal"/>
    <w:rsid w:val="006B5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
    <w:basedOn w:val="Normal"/>
    <w:link w:val="FootnoteTextChar"/>
    <w:semiHidden/>
    <w:rsid w:val="00300DDD"/>
    <w:rPr>
      <w:sz w:val="20"/>
      <w:szCs w:val="20"/>
    </w:rPr>
  </w:style>
  <w:style w:type="character" w:styleId="FootnoteReference">
    <w:name w:val="footnote reference"/>
    <w:rsid w:val="00300DDD"/>
    <w:rPr>
      <w:vertAlign w:val="superscript"/>
    </w:rPr>
  </w:style>
  <w:style w:type="paragraph" w:customStyle="1" w:styleId="Heading4Italics">
    <w:name w:val="Heading 4 Italics"/>
    <w:basedOn w:val="Heading4"/>
    <w:next w:val="Normal"/>
    <w:rsid w:val="00300DDD"/>
    <w:pPr>
      <w:spacing w:before="180"/>
    </w:pPr>
    <w:rPr>
      <w:b w:val="0"/>
      <w:i/>
      <w:sz w:val="24"/>
    </w:rPr>
  </w:style>
  <w:style w:type="paragraph" w:styleId="Footer">
    <w:name w:val="footer"/>
    <w:basedOn w:val="Normal"/>
    <w:rsid w:val="00582E6C"/>
    <w:pPr>
      <w:tabs>
        <w:tab w:val="center" w:pos="4320"/>
        <w:tab w:val="right" w:pos="8640"/>
      </w:tabs>
    </w:pPr>
  </w:style>
  <w:style w:type="character" w:styleId="PageNumber">
    <w:name w:val="page number"/>
    <w:basedOn w:val="DefaultParagraphFont"/>
    <w:rsid w:val="00582E6C"/>
  </w:style>
  <w:style w:type="paragraph" w:styleId="Header">
    <w:name w:val="header"/>
    <w:basedOn w:val="Normal"/>
    <w:link w:val="HeaderChar"/>
    <w:rsid w:val="00C320F9"/>
    <w:pPr>
      <w:tabs>
        <w:tab w:val="center" w:pos="4680"/>
        <w:tab w:val="right" w:pos="9360"/>
      </w:tabs>
    </w:pPr>
  </w:style>
  <w:style w:type="character" w:customStyle="1" w:styleId="HeaderChar">
    <w:name w:val="Header Char"/>
    <w:link w:val="Header"/>
    <w:rsid w:val="00C320F9"/>
    <w:rPr>
      <w:sz w:val="24"/>
      <w:szCs w:val="24"/>
    </w:rPr>
  </w:style>
  <w:style w:type="paragraph" w:styleId="BalloonText">
    <w:name w:val="Balloon Text"/>
    <w:basedOn w:val="Normal"/>
    <w:link w:val="BalloonTextChar"/>
    <w:rsid w:val="00C320F9"/>
    <w:rPr>
      <w:rFonts w:ascii="Tahoma" w:hAnsi="Tahoma" w:cs="Tahoma"/>
      <w:sz w:val="16"/>
      <w:szCs w:val="16"/>
    </w:rPr>
  </w:style>
  <w:style w:type="character" w:customStyle="1" w:styleId="BalloonTextChar">
    <w:name w:val="Balloon Text Char"/>
    <w:link w:val="BalloonText"/>
    <w:rsid w:val="00C320F9"/>
    <w:rPr>
      <w:rFonts w:ascii="Tahoma" w:hAnsi="Tahoma" w:cs="Tahoma"/>
      <w:sz w:val="16"/>
      <w:szCs w:val="16"/>
    </w:rPr>
  </w:style>
  <w:style w:type="paragraph" w:customStyle="1" w:styleId="MediumGrid21">
    <w:name w:val="Medium Grid 21"/>
    <w:qFormat/>
    <w:rsid w:val="005823EC"/>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5823EC"/>
    <w:pPr>
      <w:spacing w:before="120" w:after="200" w:line="276" w:lineRule="auto"/>
      <w:ind w:left="720"/>
      <w:contextualSpacing/>
    </w:pPr>
    <w:rPr>
      <w:rFonts w:ascii="Calibri" w:eastAsia="Calibri" w:hAnsi="Calibri"/>
      <w:sz w:val="22"/>
      <w:szCs w:val="22"/>
      <w:lang w:val="en-GB"/>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
    <w:link w:val="FootnoteText"/>
    <w:semiHidden/>
    <w:rsid w:val="005823EC"/>
    <w:rPr>
      <w:lang w:val="en-US" w:eastAsia="en-US" w:bidi="ar-SA"/>
    </w:rPr>
  </w:style>
  <w:style w:type="character" w:styleId="CommentReference">
    <w:name w:val="annotation reference"/>
    <w:semiHidden/>
    <w:rsid w:val="00A160D2"/>
    <w:rPr>
      <w:sz w:val="16"/>
      <w:szCs w:val="16"/>
    </w:rPr>
  </w:style>
  <w:style w:type="paragraph" w:styleId="CommentText">
    <w:name w:val="annotation text"/>
    <w:basedOn w:val="Normal"/>
    <w:semiHidden/>
    <w:rsid w:val="00A160D2"/>
    <w:rPr>
      <w:sz w:val="20"/>
      <w:szCs w:val="20"/>
    </w:rPr>
  </w:style>
  <w:style w:type="paragraph" w:styleId="CommentSubject">
    <w:name w:val="annotation subject"/>
    <w:basedOn w:val="CommentText"/>
    <w:next w:val="CommentText"/>
    <w:semiHidden/>
    <w:rsid w:val="00A160D2"/>
    <w:rPr>
      <w:b/>
      <w:bCs/>
    </w:rPr>
  </w:style>
  <w:style w:type="character" w:customStyle="1" w:styleId="Heading2Char">
    <w:name w:val="Heading 2 Char"/>
    <w:link w:val="Heading2"/>
    <w:uiPriority w:val="9"/>
    <w:rsid w:val="00617030"/>
    <w:rPr>
      <w:rFonts w:ascii="Calibri Light" w:eastAsia="MS Gothic" w:hAnsi="Calibri Light"/>
      <w:color w:val="2E74B5"/>
      <w:sz w:val="26"/>
      <w:szCs w:val="26"/>
      <w:lang w:val="en-US" w:eastAsia="en-US"/>
    </w:rPr>
  </w:style>
  <w:style w:type="character" w:customStyle="1" w:styleId="A5">
    <w:name w:val="A5"/>
    <w:uiPriority w:val="99"/>
    <w:rsid w:val="00BD03F4"/>
    <w:rPr>
      <w:rFonts w:cs="CalifornianFB Roman"/>
      <w:color w:val="000000"/>
      <w:sz w:val="22"/>
      <w:szCs w:val="22"/>
    </w:rPr>
  </w:style>
  <w:style w:type="character" w:customStyle="1" w:styleId="hit">
    <w:name w:val="hit"/>
    <w:rsid w:val="00BD03F4"/>
  </w:style>
  <w:style w:type="character" w:customStyle="1" w:styleId="cit-name">
    <w:name w:val="cit-name"/>
    <w:rsid w:val="00BD03F4"/>
  </w:style>
  <w:style w:type="character" w:customStyle="1" w:styleId="cit-given-names">
    <w:name w:val="cit-given-names"/>
    <w:rsid w:val="00BD03F4"/>
  </w:style>
  <w:style w:type="character" w:customStyle="1" w:styleId="cit-surname">
    <w:name w:val="cit-surname"/>
    <w:rsid w:val="00BD03F4"/>
  </w:style>
  <w:style w:type="character" w:customStyle="1" w:styleId="cit-year">
    <w:name w:val="cit-year"/>
    <w:rsid w:val="00BD03F4"/>
  </w:style>
  <w:style w:type="character" w:customStyle="1" w:styleId="cit-article-title">
    <w:name w:val="cit-article-title"/>
    <w:rsid w:val="00BD03F4"/>
  </w:style>
  <w:style w:type="character" w:customStyle="1" w:styleId="cit-source">
    <w:name w:val="cit-source"/>
    <w:rsid w:val="00BD03F4"/>
  </w:style>
  <w:style w:type="character" w:customStyle="1" w:styleId="cit-volume">
    <w:name w:val="cit-volume"/>
    <w:rsid w:val="00BD03F4"/>
  </w:style>
  <w:style w:type="character" w:customStyle="1" w:styleId="cit-fpage">
    <w:name w:val="cit-fpage"/>
    <w:rsid w:val="00BD03F4"/>
  </w:style>
  <w:style w:type="character" w:customStyle="1" w:styleId="cit-lpage">
    <w:name w:val="cit-lpage"/>
    <w:rsid w:val="00BD03F4"/>
  </w:style>
  <w:style w:type="paragraph" w:styleId="Revision">
    <w:name w:val="Revision"/>
    <w:hidden/>
    <w:uiPriority w:val="99"/>
    <w:semiHidden/>
    <w:rsid w:val="0009752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3A1"/>
    <w:rPr>
      <w:sz w:val="24"/>
      <w:szCs w:val="24"/>
      <w:lang w:val="en-US" w:eastAsia="en-US"/>
    </w:rPr>
  </w:style>
  <w:style w:type="paragraph" w:styleId="Heading2">
    <w:name w:val="heading 2"/>
    <w:basedOn w:val="Normal"/>
    <w:next w:val="Normal"/>
    <w:link w:val="Heading2Char"/>
    <w:uiPriority w:val="9"/>
    <w:qFormat/>
    <w:rsid w:val="00617030"/>
    <w:pPr>
      <w:keepNext/>
      <w:keepLines/>
      <w:spacing w:before="40"/>
      <w:outlineLvl w:val="1"/>
    </w:pPr>
    <w:rPr>
      <w:rFonts w:ascii="Calibri Light" w:eastAsia="MS Gothic" w:hAnsi="Calibri Light"/>
      <w:color w:val="2E74B5"/>
      <w:sz w:val="26"/>
      <w:szCs w:val="26"/>
    </w:rPr>
  </w:style>
  <w:style w:type="paragraph" w:styleId="Heading3">
    <w:name w:val="heading 3"/>
    <w:basedOn w:val="Normal"/>
    <w:next w:val="Normal"/>
    <w:qFormat/>
    <w:rsid w:val="00300DDD"/>
    <w:pPr>
      <w:keepNext/>
      <w:spacing w:before="240" w:after="60"/>
      <w:outlineLvl w:val="2"/>
    </w:pPr>
    <w:rPr>
      <w:rFonts w:cs="Arial"/>
      <w:b/>
      <w:bCs/>
      <w:sz w:val="26"/>
      <w:szCs w:val="26"/>
    </w:rPr>
  </w:style>
  <w:style w:type="paragraph" w:styleId="Heading4">
    <w:name w:val="heading 4"/>
    <w:basedOn w:val="Normal"/>
    <w:next w:val="Normal"/>
    <w:qFormat/>
    <w:rsid w:val="00300D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442E6"/>
    <w:rPr>
      <w:caps/>
    </w:rPr>
  </w:style>
  <w:style w:type="character" w:styleId="Hyperlink">
    <w:name w:val="Hyperlink"/>
    <w:rsid w:val="006B53A1"/>
    <w:rPr>
      <w:color w:val="0000FF"/>
      <w:u w:val="single"/>
    </w:rPr>
  </w:style>
  <w:style w:type="table" w:styleId="TableGrid">
    <w:name w:val="Table Grid"/>
    <w:basedOn w:val="TableNormal"/>
    <w:rsid w:val="006B5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
    <w:basedOn w:val="Normal"/>
    <w:link w:val="FootnoteTextChar"/>
    <w:semiHidden/>
    <w:rsid w:val="00300DDD"/>
    <w:rPr>
      <w:sz w:val="20"/>
      <w:szCs w:val="20"/>
    </w:rPr>
  </w:style>
  <w:style w:type="character" w:styleId="FootnoteReference">
    <w:name w:val="footnote reference"/>
    <w:rsid w:val="00300DDD"/>
    <w:rPr>
      <w:vertAlign w:val="superscript"/>
    </w:rPr>
  </w:style>
  <w:style w:type="paragraph" w:customStyle="1" w:styleId="Heading4Italics">
    <w:name w:val="Heading 4 Italics"/>
    <w:basedOn w:val="Heading4"/>
    <w:next w:val="Normal"/>
    <w:rsid w:val="00300DDD"/>
    <w:pPr>
      <w:spacing w:before="180"/>
    </w:pPr>
    <w:rPr>
      <w:b w:val="0"/>
      <w:i/>
      <w:sz w:val="24"/>
    </w:rPr>
  </w:style>
  <w:style w:type="paragraph" w:styleId="Footer">
    <w:name w:val="footer"/>
    <w:basedOn w:val="Normal"/>
    <w:rsid w:val="00582E6C"/>
    <w:pPr>
      <w:tabs>
        <w:tab w:val="center" w:pos="4320"/>
        <w:tab w:val="right" w:pos="8640"/>
      </w:tabs>
    </w:pPr>
  </w:style>
  <w:style w:type="character" w:styleId="PageNumber">
    <w:name w:val="page number"/>
    <w:basedOn w:val="DefaultParagraphFont"/>
    <w:rsid w:val="00582E6C"/>
  </w:style>
  <w:style w:type="paragraph" w:styleId="Header">
    <w:name w:val="header"/>
    <w:basedOn w:val="Normal"/>
    <w:link w:val="HeaderChar"/>
    <w:rsid w:val="00C320F9"/>
    <w:pPr>
      <w:tabs>
        <w:tab w:val="center" w:pos="4680"/>
        <w:tab w:val="right" w:pos="9360"/>
      </w:tabs>
    </w:pPr>
  </w:style>
  <w:style w:type="character" w:customStyle="1" w:styleId="HeaderChar">
    <w:name w:val="Header Char"/>
    <w:link w:val="Header"/>
    <w:rsid w:val="00C320F9"/>
    <w:rPr>
      <w:sz w:val="24"/>
      <w:szCs w:val="24"/>
    </w:rPr>
  </w:style>
  <w:style w:type="paragraph" w:styleId="BalloonText">
    <w:name w:val="Balloon Text"/>
    <w:basedOn w:val="Normal"/>
    <w:link w:val="BalloonTextChar"/>
    <w:rsid w:val="00C320F9"/>
    <w:rPr>
      <w:rFonts w:ascii="Tahoma" w:hAnsi="Tahoma" w:cs="Tahoma"/>
      <w:sz w:val="16"/>
      <w:szCs w:val="16"/>
    </w:rPr>
  </w:style>
  <w:style w:type="character" w:customStyle="1" w:styleId="BalloonTextChar">
    <w:name w:val="Balloon Text Char"/>
    <w:link w:val="BalloonText"/>
    <w:rsid w:val="00C320F9"/>
    <w:rPr>
      <w:rFonts w:ascii="Tahoma" w:hAnsi="Tahoma" w:cs="Tahoma"/>
      <w:sz w:val="16"/>
      <w:szCs w:val="16"/>
    </w:rPr>
  </w:style>
  <w:style w:type="paragraph" w:customStyle="1" w:styleId="MediumGrid21">
    <w:name w:val="Medium Grid 21"/>
    <w:qFormat/>
    <w:rsid w:val="005823EC"/>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5823EC"/>
    <w:pPr>
      <w:spacing w:before="120" w:after="200" w:line="276" w:lineRule="auto"/>
      <w:ind w:left="720"/>
      <w:contextualSpacing/>
    </w:pPr>
    <w:rPr>
      <w:rFonts w:ascii="Calibri" w:eastAsia="Calibri" w:hAnsi="Calibri"/>
      <w:sz w:val="22"/>
      <w:szCs w:val="22"/>
      <w:lang w:val="en-GB"/>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
    <w:link w:val="FootnoteText"/>
    <w:semiHidden/>
    <w:rsid w:val="005823EC"/>
    <w:rPr>
      <w:lang w:val="en-US" w:eastAsia="en-US" w:bidi="ar-SA"/>
    </w:rPr>
  </w:style>
  <w:style w:type="character" w:styleId="CommentReference">
    <w:name w:val="annotation reference"/>
    <w:semiHidden/>
    <w:rsid w:val="00A160D2"/>
    <w:rPr>
      <w:sz w:val="16"/>
      <w:szCs w:val="16"/>
    </w:rPr>
  </w:style>
  <w:style w:type="paragraph" w:styleId="CommentText">
    <w:name w:val="annotation text"/>
    <w:basedOn w:val="Normal"/>
    <w:semiHidden/>
    <w:rsid w:val="00A160D2"/>
    <w:rPr>
      <w:sz w:val="20"/>
      <w:szCs w:val="20"/>
    </w:rPr>
  </w:style>
  <w:style w:type="paragraph" w:styleId="CommentSubject">
    <w:name w:val="annotation subject"/>
    <w:basedOn w:val="CommentText"/>
    <w:next w:val="CommentText"/>
    <w:semiHidden/>
    <w:rsid w:val="00A160D2"/>
    <w:rPr>
      <w:b/>
      <w:bCs/>
    </w:rPr>
  </w:style>
  <w:style w:type="character" w:customStyle="1" w:styleId="Heading2Char">
    <w:name w:val="Heading 2 Char"/>
    <w:link w:val="Heading2"/>
    <w:uiPriority w:val="9"/>
    <w:rsid w:val="00617030"/>
    <w:rPr>
      <w:rFonts w:ascii="Calibri Light" w:eastAsia="MS Gothic" w:hAnsi="Calibri Light"/>
      <w:color w:val="2E74B5"/>
      <w:sz w:val="26"/>
      <w:szCs w:val="26"/>
      <w:lang w:val="en-US" w:eastAsia="en-US"/>
    </w:rPr>
  </w:style>
  <w:style w:type="character" w:customStyle="1" w:styleId="A5">
    <w:name w:val="A5"/>
    <w:uiPriority w:val="99"/>
    <w:rsid w:val="00BD03F4"/>
    <w:rPr>
      <w:rFonts w:cs="CalifornianFB Roman"/>
      <w:color w:val="000000"/>
      <w:sz w:val="22"/>
      <w:szCs w:val="22"/>
    </w:rPr>
  </w:style>
  <w:style w:type="character" w:customStyle="1" w:styleId="hit">
    <w:name w:val="hit"/>
    <w:rsid w:val="00BD03F4"/>
  </w:style>
  <w:style w:type="character" w:customStyle="1" w:styleId="cit-name">
    <w:name w:val="cit-name"/>
    <w:rsid w:val="00BD03F4"/>
  </w:style>
  <w:style w:type="character" w:customStyle="1" w:styleId="cit-given-names">
    <w:name w:val="cit-given-names"/>
    <w:rsid w:val="00BD03F4"/>
  </w:style>
  <w:style w:type="character" w:customStyle="1" w:styleId="cit-surname">
    <w:name w:val="cit-surname"/>
    <w:rsid w:val="00BD03F4"/>
  </w:style>
  <w:style w:type="character" w:customStyle="1" w:styleId="cit-year">
    <w:name w:val="cit-year"/>
    <w:rsid w:val="00BD03F4"/>
  </w:style>
  <w:style w:type="character" w:customStyle="1" w:styleId="cit-article-title">
    <w:name w:val="cit-article-title"/>
    <w:rsid w:val="00BD03F4"/>
  </w:style>
  <w:style w:type="character" w:customStyle="1" w:styleId="cit-source">
    <w:name w:val="cit-source"/>
    <w:rsid w:val="00BD03F4"/>
  </w:style>
  <w:style w:type="character" w:customStyle="1" w:styleId="cit-volume">
    <w:name w:val="cit-volume"/>
    <w:rsid w:val="00BD03F4"/>
  </w:style>
  <w:style w:type="character" w:customStyle="1" w:styleId="cit-fpage">
    <w:name w:val="cit-fpage"/>
    <w:rsid w:val="00BD03F4"/>
  </w:style>
  <w:style w:type="character" w:customStyle="1" w:styleId="cit-lpage">
    <w:name w:val="cit-lpage"/>
    <w:rsid w:val="00BD03F4"/>
  </w:style>
  <w:style w:type="paragraph" w:styleId="Revision">
    <w:name w:val="Revision"/>
    <w:hidden/>
    <w:uiPriority w:val="99"/>
    <w:semiHidden/>
    <w:rsid w:val="000975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ciencedirect.com.proxy1.cl.msu.edu/science/article/pii/S0305750X11001495" TargetMode="External"/><Relationship Id="rId15" Type="http://schemas.openxmlformats.org/officeDocument/2006/relationships/hyperlink" Target="http://www.sciencedirect.com.proxy1.cl.msu.edu/science/article/pii/0305750X8990034X" TargetMode="External"/><Relationship Id="rId16" Type="http://schemas.openxmlformats.org/officeDocument/2006/relationships/hyperlink" Target="http://dx.doi.org/10.1017/S0014479702000443"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ec.msu.edu/fs2/psynin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7B80-BA77-D847-8B36-58245607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2650</Words>
  <Characters>15107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Michigan State University</Company>
  <LinksUpToDate>false</LinksUpToDate>
  <CharactersWithSpaces>17722</CharactersWithSpaces>
  <SharedDoc>false</SharedDoc>
  <HLinks>
    <vt:vector size="36" baseType="variant">
      <vt:variant>
        <vt:i4>6946846</vt:i4>
      </vt:variant>
      <vt:variant>
        <vt:i4>13</vt:i4>
      </vt:variant>
      <vt:variant>
        <vt:i4>0</vt:i4>
      </vt:variant>
      <vt:variant>
        <vt:i4>5</vt:i4>
      </vt:variant>
      <vt:variant>
        <vt:lpwstr>http://dx.doi.org/10.1017/S0014479702000443</vt:lpwstr>
      </vt:variant>
      <vt:variant>
        <vt:lpwstr/>
      </vt:variant>
      <vt:variant>
        <vt:i4>7929874</vt:i4>
      </vt:variant>
      <vt:variant>
        <vt:i4>10</vt:i4>
      </vt:variant>
      <vt:variant>
        <vt:i4>0</vt:i4>
      </vt:variant>
      <vt:variant>
        <vt:i4>5</vt:i4>
      </vt:variant>
      <vt:variant>
        <vt:lpwstr>http://www.sciencedirect.com.proxy1.cl.msu.edu/science/article/pii/0305750X8990034X</vt:lpwstr>
      </vt:variant>
      <vt:variant>
        <vt:lpwstr/>
      </vt:variant>
      <vt:variant>
        <vt:i4>4390933</vt:i4>
      </vt:variant>
      <vt:variant>
        <vt:i4>7</vt:i4>
      </vt:variant>
      <vt:variant>
        <vt:i4>0</vt:i4>
      </vt:variant>
      <vt:variant>
        <vt:i4>5</vt:i4>
      </vt:variant>
      <vt:variant>
        <vt:lpwstr>http://www.sciencedirect.com.proxy1.cl.msu.edu/science/article/pii/S0305750X11001495</vt:lpwstr>
      </vt:variant>
      <vt:variant>
        <vt:lpwstr/>
      </vt:variant>
      <vt:variant>
        <vt:i4>2818143</vt:i4>
      </vt:variant>
      <vt:variant>
        <vt:i4>4</vt:i4>
      </vt:variant>
      <vt:variant>
        <vt:i4>0</vt:i4>
      </vt:variant>
      <vt:variant>
        <vt:i4>5</vt:i4>
      </vt:variant>
      <vt:variant>
        <vt:lpwstr>http://www.aec.msu.edu/fs2/psynindx.htm</vt:lpwstr>
      </vt:variant>
      <vt:variant>
        <vt:lpwstr/>
      </vt:variant>
      <vt:variant>
        <vt:i4>5505133</vt:i4>
      </vt:variant>
      <vt:variant>
        <vt:i4>2052</vt:i4>
      </vt:variant>
      <vt:variant>
        <vt:i4>1025</vt:i4>
      </vt:variant>
      <vt:variant>
        <vt:i4>1</vt:i4>
      </vt:variant>
      <vt:variant>
        <vt:lpwstr>Vertical_RGB_600_2in</vt:lpwstr>
      </vt:variant>
      <vt:variant>
        <vt:lpwstr/>
      </vt:variant>
      <vt:variant>
        <vt:i4>65565</vt:i4>
      </vt:variant>
      <vt:variant>
        <vt:i4>2378</vt:i4>
      </vt:variant>
      <vt:variant>
        <vt:i4>1026</vt:i4>
      </vt:variant>
      <vt:variant>
        <vt:i4>1</vt:i4>
      </vt:variant>
      <vt:variant>
        <vt:lpwstr>wordmark_pos_wht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aec_user</dc:creator>
  <cp:keywords/>
  <dc:description/>
  <cp:lastModifiedBy>dorothy Sirrine</cp:lastModifiedBy>
  <cp:revision>2</cp:revision>
  <cp:lastPrinted>2018-01-12T08:15:00Z</cp:lastPrinted>
  <dcterms:created xsi:type="dcterms:W3CDTF">2018-02-09T21:46:00Z</dcterms:created>
  <dcterms:modified xsi:type="dcterms:W3CDTF">2018-02-09T21:46:00Z</dcterms:modified>
</cp:coreProperties>
</file>